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9490" w14:textId="3D053CD2" w:rsidR="002033E0" w:rsidRPr="00865F7D" w:rsidRDefault="00B82645" w:rsidP="00B8264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E3E3E"/>
          <w:lang w:eastAsia="es-ES_tradnl"/>
        </w:rPr>
      </w:pPr>
      <w:proofErr w:type="spellStart"/>
      <w:r w:rsidRPr="00865F7D">
        <w:rPr>
          <w:rFonts w:ascii="Times New Roman" w:eastAsia="Times New Roman" w:hAnsi="Times New Roman" w:cs="Times New Roman"/>
          <w:b/>
          <w:bCs/>
          <w:color w:val="3E3E3E"/>
          <w:lang w:eastAsia="es-ES_tradnl"/>
        </w:rPr>
        <w:t>Dapaglifozina</w:t>
      </w:r>
      <w:proofErr w:type="spellEnd"/>
      <w:r w:rsidRPr="00865F7D">
        <w:rPr>
          <w:rFonts w:ascii="Times New Roman" w:eastAsia="Times New Roman" w:hAnsi="Times New Roman" w:cs="Times New Roman"/>
          <w:b/>
          <w:bCs/>
          <w:color w:val="3E3E3E"/>
          <w:lang w:eastAsia="es-ES_tradnl"/>
        </w:rPr>
        <w:t xml:space="preserve"> en Insuficiencia cardiaca con fracción de eyección reducida </w:t>
      </w:r>
      <w:r w:rsidR="008D10BB" w:rsidRPr="00865F7D">
        <w:rPr>
          <w:rFonts w:ascii="Times New Roman" w:eastAsia="Times New Roman" w:hAnsi="Times New Roman" w:cs="Times New Roman"/>
          <w:b/>
          <w:bCs/>
          <w:color w:val="3E3E3E"/>
          <w:lang w:eastAsia="es-ES_tradnl"/>
        </w:rPr>
        <w:t xml:space="preserve">Estudio </w:t>
      </w:r>
      <w:r w:rsidR="002033E0" w:rsidRPr="00865F7D">
        <w:rPr>
          <w:rFonts w:ascii="Times New Roman" w:eastAsia="Times New Roman" w:hAnsi="Times New Roman" w:cs="Times New Roman"/>
          <w:b/>
          <w:bCs/>
          <w:color w:val="3E3E3E"/>
          <w:lang w:eastAsia="es-ES_tradnl"/>
        </w:rPr>
        <w:t>DAPA HF</w:t>
      </w:r>
    </w:p>
    <w:p w14:paraId="3197491B" w14:textId="77777777" w:rsidR="00B82645" w:rsidRPr="00865F7D" w:rsidRDefault="00B82645" w:rsidP="00B8264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E3E3E"/>
          <w:lang w:eastAsia="es-ES_tradnl"/>
        </w:rPr>
      </w:pPr>
    </w:p>
    <w:p w14:paraId="3600B88C" w14:textId="71B9EAFA" w:rsidR="00B82645" w:rsidRPr="00865F7D" w:rsidRDefault="00B82645" w:rsidP="00B8264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bCs/>
          <w:color w:val="3E3E3E"/>
          <w:lang w:eastAsia="es-ES_tradnl"/>
        </w:rPr>
        <w:t xml:space="preserve">Dr. Juan Pablo </w:t>
      </w:r>
      <w:proofErr w:type="spellStart"/>
      <w:r w:rsidRPr="00865F7D">
        <w:rPr>
          <w:rFonts w:ascii="Times New Roman" w:eastAsia="Times New Roman" w:hAnsi="Times New Roman" w:cs="Times New Roman"/>
          <w:bCs/>
          <w:color w:val="3E3E3E"/>
          <w:lang w:eastAsia="es-ES_tradnl"/>
        </w:rPr>
        <w:t>Cimbaro</w:t>
      </w:r>
      <w:proofErr w:type="spellEnd"/>
      <w:r w:rsidRPr="00865F7D">
        <w:rPr>
          <w:rFonts w:ascii="Times New Roman" w:eastAsia="Times New Roman" w:hAnsi="Times New Roman" w:cs="Times New Roman"/>
          <w:bCs/>
          <w:color w:val="3E3E3E"/>
          <w:lang w:eastAsia="es-ES_tradnl"/>
        </w:rPr>
        <w:t xml:space="preserve"> </w:t>
      </w:r>
      <w:proofErr w:type="spellStart"/>
      <w:r w:rsidRPr="00865F7D">
        <w:rPr>
          <w:rFonts w:ascii="Times New Roman" w:eastAsia="Times New Roman" w:hAnsi="Times New Roman" w:cs="Times New Roman"/>
          <w:bCs/>
          <w:color w:val="3E3E3E"/>
          <w:lang w:eastAsia="es-ES_tradnl"/>
        </w:rPr>
        <w:t>Canella</w:t>
      </w:r>
      <w:proofErr w:type="spellEnd"/>
    </w:p>
    <w:p w14:paraId="36434ADF" w14:textId="6AF4B1F0" w:rsidR="00B82645" w:rsidRPr="00865F7D" w:rsidRDefault="00B82645" w:rsidP="00B8264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bCs/>
          <w:color w:val="3E3E3E"/>
          <w:lang w:eastAsia="es-ES_tradnl"/>
        </w:rPr>
        <w:t>División de Insuficiencia cardiaca e Hipertensión pulmonar</w:t>
      </w:r>
    </w:p>
    <w:p w14:paraId="7CEB53A4" w14:textId="01D210C7" w:rsidR="00B82645" w:rsidRPr="00865F7D" w:rsidRDefault="00B82645" w:rsidP="00B8264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bCs/>
          <w:color w:val="3E3E3E"/>
          <w:lang w:eastAsia="es-ES_tradnl"/>
        </w:rPr>
        <w:t>Instituto de Cardiología de Corrientes</w:t>
      </w:r>
    </w:p>
    <w:p w14:paraId="49F0CD4C" w14:textId="77777777" w:rsidR="00B82645" w:rsidRPr="00865F7D" w:rsidRDefault="00B82645" w:rsidP="008D10BB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E3E3E"/>
          <w:lang w:eastAsia="es-ES_tradnl"/>
        </w:rPr>
      </w:pPr>
    </w:p>
    <w:p w14:paraId="35174DA7" w14:textId="77777777" w:rsidR="003E6A7F" w:rsidRPr="00865F7D" w:rsidRDefault="008511CD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lang w:eastAsia="es-ES_tradnl"/>
        </w:rPr>
        <w:t xml:space="preserve">Los inhibidores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del co-transportador de sodio-glucosa 2 (iSGLT2) constituyen un grupo de drogas con efecto glucosúrico y natriurético, empleados para el tratamiento de la diabetes mellitus tipo 2 (DM2). </w:t>
      </w:r>
      <w:r w:rsidR="002033E0" w:rsidRPr="00865F7D">
        <w:rPr>
          <w:rFonts w:ascii="Times New Roman" w:eastAsia="Times New Roman" w:hAnsi="Times New Roman" w:cs="Times New Roman"/>
          <w:color w:val="3E3E3E"/>
          <w:lang w:eastAsia="es-ES_tradnl"/>
        </w:rPr>
        <w:t>Un reciente metaanál</w:t>
      </w:r>
      <w:r w:rsidR="00E21CE4" w:rsidRPr="00865F7D">
        <w:rPr>
          <w:rFonts w:ascii="Times New Roman" w:eastAsia="Times New Roman" w:hAnsi="Times New Roman" w:cs="Times New Roman"/>
          <w:color w:val="3E3E3E"/>
          <w:lang w:eastAsia="es-ES_tradnl"/>
        </w:rPr>
        <w:t>i</w:t>
      </w:r>
      <w:r w:rsidR="002033E0" w:rsidRPr="00865F7D">
        <w:rPr>
          <w:rFonts w:ascii="Times New Roman" w:eastAsia="Times New Roman" w:hAnsi="Times New Roman" w:cs="Times New Roman"/>
          <w:color w:val="3E3E3E"/>
          <w:lang w:eastAsia="es-ES_tradnl"/>
        </w:rPr>
        <w:t>sis que evaluó 4 ensayos clínicos que incluyeron sujetos con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2033E0" w:rsidRPr="00865F7D">
        <w:rPr>
          <w:rFonts w:ascii="Times New Roman" w:eastAsia="Times New Roman" w:hAnsi="Times New Roman" w:cs="Times New Roman"/>
          <w:color w:val="3E3E3E"/>
          <w:lang w:eastAsia="es-ES_tradnl"/>
        </w:rPr>
        <w:t>DM2 demostró que los inhibidores del co-transportador de sodio-glucosa 2 (iSGLT2)</w:t>
      </w:r>
      <w:r w:rsidR="00A766E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, tambien llamadas gliflozinas, </w:t>
      </w:r>
      <w:r w:rsidR="002033E0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previenen la incidencia de 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eventos cardi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o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va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s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culares (MACE) y de </w:t>
      </w:r>
      <w:r w:rsidR="003E6A7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hospitalizaciones por </w:t>
      </w:r>
      <w:r w:rsidR="002033E0" w:rsidRPr="00865F7D">
        <w:rPr>
          <w:rFonts w:ascii="Times New Roman" w:eastAsia="Times New Roman" w:hAnsi="Times New Roman" w:cs="Times New Roman"/>
          <w:color w:val="3E3E3E"/>
          <w:lang w:eastAsia="es-ES_tradnl"/>
        </w:rPr>
        <w:t>insuficiencia cardiaca</w:t>
      </w:r>
      <w:r w:rsidR="007C56F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(IC)</w:t>
      </w:r>
      <w:r w:rsidR="002033E0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3E6A7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 alrededor de 25–35% </w:t>
      </w:r>
      <w:r w:rsidR="002033E0" w:rsidRPr="00865F7D">
        <w:rPr>
          <w:rFonts w:ascii="Times New Roman" w:eastAsia="Times New Roman" w:hAnsi="Times New Roman" w:cs="Times New Roman"/>
          <w:color w:val="3E3E3E"/>
          <w:lang w:eastAsia="es-ES_tradnl"/>
        </w:rPr>
        <w:t>en el seguimiento a largo plazo</w:t>
      </w:r>
      <w:r w:rsidR="00A766E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(1) </w:t>
      </w:r>
    </w:p>
    <w:p w14:paraId="5A0AC460" w14:textId="77777777" w:rsidR="003E6A7F" w:rsidRPr="00865F7D" w:rsidRDefault="003E6A7F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Tres drogas (empagliflozina, canagliflozina y dapagliflozina) mostraron prevenir el desarrollo de IC en sujetos de alto riesgo vascular y de ellos, solamente el 10-15% tenia diagnóstico previo de IC al enrolamiento. </w:t>
      </w:r>
      <w:r w:rsidR="00003F36" w:rsidRPr="00865F7D">
        <w:rPr>
          <w:rFonts w:ascii="Times New Roman" w:eastAsia="Times New Roman" w:hAnsi="Times New Roman" w:cs="Times New Roman"/>
          <w:color w:val="3E3E3E"/>
          <w:lang w:eastAsia="es-ES_tradnl"/>
        </w:rPr>
        <w:t>(1)</w:t>
      </w:r>
    </w:p>
    <w:p w14:paraId="6A1C865E" w14:textId="77777777" w:rsidR="002033E0" w:rsidRPr="00865F7D" w:rsidRDefault="008511CD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lang w:eastAsia="es-ES_tradnl"/>
        </w:rPr>
        <w:t xml:space="preserve">Este efecto beneficioso estimuló la investigación de este grupo farmacológico en pacientes con IC. 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El e</w:t>
      </w:r>
      <w:r w:rsidR="00A766E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studio DAPA -HF (Dapagliflozin in Patients with Heart Failure and Reduced Ejection Fraction) evaluó </w:t>
      </w:r>
      <w:r w:rsidR="007C56F4" w:rsidRPr="00865F7D">
        <w:rPr>
          <w:rFonts w:ascii="Times New Roman" w:eastAsia="Times New Roman" w:hAnsi="Times New Roman" w:cs="Times New Roman"/>
          <w:color w:val="3E3E3E"/>
          <w:lang w:eastAsia="es-ES_tradnl"/>
        </w:rPr>
        <w:t>d</w:t>
      </w:r>
      <w:r w:rsidR="00A766E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apagliflozina vs placebo en sujetos con IC con 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f</w:t>
      </w:r>
      <w:r w:rsidR="00A766E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racción de eyección reducida con y sin DM2. 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(2)</w:t>
      </w:r>
    </w:p>
    <w:p w14:paraId="635BA8C6" w14:textId="77777777" w:rsidR="00A766E1" w:rsidRPr="00865F7D" w:rsidRDefault="00A766E1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Los pr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incipales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criterios de inclusión fueron</w:t>
      </w:r>
      <w:r w:rsidR="008511CD" w:rsidRPr="00865F7D">
        <w:rPr>
          <w:rFonts w:ascii="Times New Roman" w:eastAsia="Times New Roman" w:hAnsi="Times New Roman" w:cs="Times New Roman"/>
          <w:color w:val="3E3E3E"/>
          <w:lang w:eastAsia="es-ES_tradnl"/>
        </w:rPr>
        <w:t>: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edad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sym w:font="Symbol" w:char="F03E"/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de 18 años, fracción de eyección </w:t>
      </w:r>
      <w:r w:rsidR="008511CD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del ventriculo izquierdo (FEVI)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sym w:font="Symbol" w:char="F0A3"/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 40%, CF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>II- IV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(NYHA). NT-proBNP 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sym w:font="Symbol" w:char="F0B3"/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>600 pg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/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ml,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>(o ≥400 pg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>/ml en aquellos con hospitalizaci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ó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>n previa por IC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>)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En sujetos con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>fibrilación o aleteo auricular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el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NT-proBNP 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debía ser 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sym w:font="Symbol" w:char="F0B3"/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157BE6" w:rsidRPr="00865F7D">
        <w:rPr>
          <w:rFonts w:ascii="Times New Roman" w:eastAsia="Times New Roman" w:hAnsi="Times New Roman" w:cs="Times New Roman"/>
          <w:color w:val="3E3E3E"/>
          <w:lang w:eastAsia="es-ES_tradnl"/>
        </w:rPr>
        <w:t>900 pg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>/ml</w:t>
      </w:r>
      <w:r w:rsidR="007C56F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y se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requer</w:t>
      </w:r>
      <w:r w:rsidR="007C56F4" w:rsidRPr="00865F7D">
        <w:rPr>
          <w:rFonts w:ascii="Times New Roman" w:eastAsia="Times New Roman" w:hAnsi="Times New Roman" w:cs="Times New Roman"/>
          <w:color w:val="3E3E3E"/>
          <w:lang w:eastAsia="es-ES_tradnl"/>
        </w:rPr>
        <w:t>ía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>t</w:t>
      </w:r>
      <w:r w:rsidR="008511CD" w:rsidRPr="00865F7D">
        <w:rPr>
          <w:rFonts w:ascii="Times New Roman" w:eastAsia="Times New Roman" w:hAnsi="Times New Roman" w:cs="Times New Roman"/>
          <w:color w:val="3E3E3E"/>
          <w:lang w:eastAsia="es-ES_tradnl"/>
        </w:rPr>
        <w:t>ratamiento médico óptimo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para IC. Se excluyeron </w:t>
      </w:r>
      <w:r w:rsidR="007C56F4" w:rsidRPr="00865F7D">
        <w:rPr>
          <w:rFonts w:ascii="Times New Roman" w:eastAsia="Times New Roman" w:hAnsi="Times New Roman" w:cs="Times New Roman"/>
          <w:color w:val="3E3E3E"/>
          <w:lang w:eastAsia="es-ES_tradnl"/>
        </w:rPr>
        <w:t>individuos</w:t>
      </w:r>
      <w:r w:rsidR="00062563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con </w:t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DM1, tension arterial </w:t>
      </w:r>
      <w:r w:rsidR="00B002BF"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sym w:font="Symbol" w:char="F03C"/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 95 mmHg y una tasa de filtrado glomerular estimada </w:t>
      </w:r>
      <w:r w:rsidR="00B002BF"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sym w:font="Symbol" w:char="F03C"/>
      </w:r>
      <w:r w:rsidR="00B002BF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 de 30 ml/min. </w:t>
      </w:r>
    </w:p>
    <w:p w14:paraId="4E66B1F5" w14:textId="77777777" w:rsidR="007C56F4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Se randomizaron 4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>744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pacientes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(p)</w:t>
      </w:r>
      <w:r w:rsidR="004A5FE0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,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 237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>3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p fueron </w:t>
      </w:r>
      <w:r w:rsidR="007C56F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asignados a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dapagliflozina y 237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>1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a placebo. Las características basales fueron similares </w:t>
      </w:r>
      <w:r w:rsidR="007C56F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en ambos grupos y 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semejantes a los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estudios  de IC con F</w:t>
      </w:r>
      <w:r w:rsidR="008511CD" w:rsidRPr="00865F7D">
        <w:rPr>
          <w:rFonts w:ascii="Times New Roman" w:eastAsia="Times New Roman" w:hAnsi="Times New Roman" w:cs="Times New Roman"/>
          <w:color w:val="3E3E3E"/>
          <w:lang w:eastAsia="es-ES_tradnl"/>
        </w:rPr>
        <w:t>EVI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reducida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El 42% </w:t>
      </w:r>
      <w:r w:rsidR="0009391E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 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>cada grupo ten</w:t>
      </w:r>
      <w:r w:rsidR="0009391E" w:rsidRPr="00865F7D">
        <w:rPr>
          <w:rFonts w:ascii="Times New Roman" w:eastAsia="Times New Roman" w:hAnsi="Times New Roman" w:cs="Times New Roman"/>
          <w:color w:val="3E3E3E"/>
          <w:lang w:eastAsia="es-ES_tradnl"/>
        </w:rPr>
        <w:t>í</w:t>
      </w:r>
      <w:r w:rsidR="00265364" w:rsidRPr="00865F7D">
        <w:rPr>
          <w:rFonts w:ascii="Times New Roman" w:eastAsia="Times New Roman" w:hAnsi="Times New Roman" w:cs="Times New Roman"/>
          <w:color w:val="3E3E3E"/>
          <w:lang w:eastAsia="es-ES_tradnl"/>
        </w:rPr>
        <w:t>a historia de DM2</w:t>
      </w:r>
      <w:r w:rsidR="008511CD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y e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>l seguimiento fue de 18.2 meses.</w:t>
      </w:r>
    </w:p>
    <w:p w14:paraId="5E6A7CD1" w14:textId="77777777" w:rsidR="00B82645" w:rsidRDefault="00B82645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</w:pPr>
    </w:p>
    <w:p w14:paraId="3CF5B062" w14:textId="77777777" w:rsidR="00865F7D" w:rsidRDefault="00865F7D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</w:pPr>
    </w:p>
    <w:p w14:paraId="387C76BE" w14:textId="77777777" w:rsidR="00865F7D" w:rsidRPr="00865F7D" w:rsidRDefault="00865F7D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</w:pPr>
    </w:p>
    <w:p w14:paraId="54C5F1C6" w14:textId="77777777" w:rsidR="00E1567C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  <w:lastRenderedPageBreak/>
        <w:t xml:space="preserve">RESULTADOS </w:t>
      </w:r>
      <w:proofErr w:type="gramStart"/>
      <w:r w:rsidRPr="00865F7D"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  <w:t>MAS</w:t>
      </w:r>
      <w:proofErr w:type="gramEnd"/>
      <w:r w:rsidRPr="00865F7D"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  <w:t xml:space="preserve"> IMPORTANTES</w:t>
      </w:r>
    </w:p>
    <w:p w14:paraId="19E43A62" w14:textId="77777777" w:rsidR="00865F7D" w:rsidRPr="00865F7D" w:rsidRDefault="00865F7D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u w:val="single"/>
          <w:lang w:eastAsia="es-ES_tradnl"/>
        </w:rPr>
      </w:pPr>
      <w:bookmarkStart w:id="0" w:name="_GoBack"/>
      <w:bookmarkEnd w:id="0"/>
    </w:p>
    <w:p w14:paraId="48D916BD" w14:textId="77777777" w:rsidR="002D06E7" w:rsidRPr="00865F7D" w:rsidRDefault="0009391E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El punto final primario compuesto de empeoramiento de la IC (hospitalización o requerimiento de terapia intravenosa para la IC) o muerte por causa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>s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cardiovascular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>es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ocurrió en 386 p (16.3%) en el grupo dapagliflozina y en 502 p (21.2%) en el grupo placebo (OR: 0,74; [IC] del 95%, 0,65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>-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0,85; p &lt;0,001)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</w:t>
      </w:r>
    </w:p>
    <w:p w14:paraId="4B4A3A62" w14:textId="77777777" w:rsidR="0009391E" w:rsidRPr="00865F7D" w:rsidRDefault="002D06E7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Fueron hospitalizados por IC, 231p (9.7%)</w:t>
      </w:r>
      <w:r w:rsidR="0009391E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del grupo dapagliflozina y  318 p (13.4%) del grupo placebo (OR:0.70; IC 95%, 0.59 a 0.83)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.</w:t>
      </w:r>
    </w:p>
    <w:p w14:paraId="79AEA6C0" w14:textId="77777777" w:rsidR="002D06E7" w:rsidRPr="00865F7D" w:rsidRDefault="0009391E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La muerte por causas cardiovasculares ocurrió en 227 p (9.6%) que recibieron dapagliflozina y en 273 (11.5%)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del grupo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placebo (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OR: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0.82; IC 95%, 0.69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>-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0.98). </w:t>
      </w:r>
      <w:r w:rsidR="002D06E7" w:rsidRPr="00865F7D">
        <w:rPr>
          <w:rFonts w:ascii="Times New Roman" w:eastAsia="Times New Roman" w:hAnsi="Times New Roman" w:cs="Times New Roman"/>
          <w:color w:val="3E3E3E"/>
          <w:lang w:eastAsia="es-ES_tradnl"/>
        </w:rPr>
        <w:t>El NNT fue de 21 para prevenir un evento primario.</w:t>
      </w:r>
    </w:p>
    <w:p w14:paraId="3C401C32" w14:textId="77777777" w:rsidR="004F6960" w:rsidRPr="00865F7D" w:rsidRDefault="004F6960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La incidencia del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punto final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secundario de hospitalización por insuficiencia cardíaca o muerte por causas cardiovasculares fue menor en el grupo de dapagliflozina vs placebo (OR: 0,75; IC del 95%, 0,65-0,85; P &lt;0,001). </w:t>
      </w:r>
    </w:p>
    <w:p w14:paraId="02867B2A" w14:textId="77777777" w:rsidR="004F6960" w:rsidRPr="00865F7D" w:rsidRDefault="00484C07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Una reducci</w:t>
      </w:r>
      <w:r w:rsidR="00C754E8" w:rsidRPr="00865F7D">
        <w:rPr>
          <w:rFonts w:ascii="Times New Roman" w:eastAsia="Times New Roman" w:hAnsi="Times New Roman" w:cs="Times New Roman"/>
          <w:color w:val="3E3E3E"/>
          <w:lang w:eastAsia="es-ES_tradnl"/>
        </w:rPr>
        <w:t>ó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n de la mortalidad por cualquier causa fue evidente en el grupo dapagl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i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flozina comparado con placebo, </w:t>
      </w:r>
      <w:r w:rsidR="004F6960" w:rsidRPr="00865F7D">
        <w:rPr>
          <w:rFonts w:ascii="Times New Roman" w:eastAsia="Times New Roman" w:hAnsi="Times New Roman" w:cs="Times New Roman"/>
          <w:color w:val="3E3E3E"/>
          <w:lang w:eastAsia="es-ES_tradnl"/>
        </w:rPr>
        <w:t>276 p (11,6%)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vs </w:t>
      </w:r>
      <w:r w:rsidR="004F6960" w:rsidRPr="00865F7D">
        <w:rPr>
          <w:rFonts w:ascii="Times New Roman" w:eastAsia="Times New Roman" w:hAnsi="Times New Roman" w:cs="Times New Roman"/>
          <w:color w:val="3E3E3E"/>
          <w:lang w:eastAsia="es-ES_tradnl"/>
        </w:rPr>
        <w:t>329 p (13,9%) (OR, 0,83; IC del 95%, 0,71-0,97)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y l</w:t>
      </w:r>
      <w:r w:rsidR="003C120B" w:rsidRPr="00865F7D">
        <w:rPr>
          <w:rFonts w:ascii="Times New Roman" w:eastAsia="Times New Roman" w:hAnsi="Times New Roman" w:cs="Times New Roman"/>
          <w:color w:val="3E3E3E"/>
          <w:lang w:eastAsia="es-ES_tradnl"/>
        </w:rPr>
        <w:t>a reducción de eventos fue similar aquellos con y sin tratamiento con sacubitrilo-valsartan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Estos resultados favorables se presentaron </w:t>
      </w:r>
    </w:p>
    <w:p w14:paraId="7C2FBB4B" w14:textId="77777777" w:rsidR="004F6960" w:rsidRPr="00865F7D" w:rsidRDefault="00484C07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tanto en diabéticos como en no diabéticos, demostrando que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el beneficio de la droga no depende unicamente de su efecto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hipoglucemiante. </w:t>
      </w:r>
    </w:p>
    <w:p w14:paraId="4E311F90" w14:textId="77777777" w:rsidR="00E1567C" w:rsidRPr="00865F7D" w:rsidRDefault="00484C07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La tasa eventos adversos fue similar en ambos grupos</w:t>
      </w:r>
      <w:r w:rsidR="003C120B" w:rsidRPr="00865F7D">
        <w:rPr>
          <w:rFonts w:ascii="Times New Roman" w:eastAsia="Times New Roman" w:hAnsi="Times New Roman" w:cs="Times New Roman"/>
          <w:color w:val="3E3E3E"/>
          <w:lang w:eastAsia="es-ES_tradnl"/>
        </w:rPr>
        <w:t>, al igual que la depleción de volumen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:</w:t>
      </w:r>
      <w:r w:rsidR="003C120B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 29 p (1,2%) en dapagliflozina y en 40 p (1,7%) en placebo (p=0,23). Se produjeron menos eventos adversos renales graves en grupo dapagliflozina 38 p (1,6%) vs 65 p (2.7%) en  gr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upo</w:t>
      </w:r>
      <w:r w:rsidR="003C120B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placebo (p=0.009).</w:t>
      </w:r>
    </w:p>
    <w:p w14:paraId="4D94B6B2" w14:textId="77777777" w:rsidR="008D10BB" w:rsidRPr="00865F7D" w:rsidRDefault="008D10BB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</w:p>
    <w:p w14:paraId="5D31AD45" w14:textId="77777777" w:rsidR="00E1567C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COMO INTERPRETAR LOS RESULTADOS</w:t>
      </w:r>
    </w:p>
    <w:p w14:paraId="55D10B67" w14:textId="77777777" w:rsidR="00003F36" w:rsidRPr="00865F7D" w:rsidRDefault="002A043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E</w:t>
      </w:r>
      <w:r w:rsidR="00C93C5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n este ensayo aleatorizado, </w:t>
      </w:r>
      <w:r w:rsidR="00600D5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a gran escala, </w:t>
      </w:r>
      <w:r w:rsidR="00C93C5A" w:rsidRPr="00865F7D">
        <w:rPr>
          <w:rFonts w:ascii="Times New Roman" w:eastAsia="Times New Roman" w:hAnsi="Times New Roman" w:cs="Times New Roman"/>
          <w:color w:val="3E3E3E"/>
          <w:lang w:eastAsia="es-ES_tradnl"/>
        </w:rPr>
        <w:t>controlado con placebo que involucró a pacientes con IC con F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EVI</w:t>
      </w:r>
      <w:r w:rsidR="00C93C5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reducida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, Dapagliflozina de</w:t>
      </w:r>
      <w:r w:rsidR="00C93C5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mostró una reducción significativa </w:t>
      </w:r>
      <w:r w:rsidR="00C754E8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del 26% </w:t>
      </w:r>
      <w:r w:rsidR="00C93C5A" w:rsidRPr="00865F7D">
        <w:rPr>
          <w:rFonts w:ascii="Times New Roman" w:eastAsia="Times New Roman" w:hAnsi="Times New Roman" w:cs="Times New Roman"/>
          <w:color w:val="3E3E3E"/>
          <w:lang w:eastAsia="es-ES_tradnl"/>
        </w:rPr>
        <w:t>del punto final primario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en una cohorte de </w:t>
      </w:r>
      <w:r w:rsidR="00003F36" w:rsidRPr="00865F7D">
        <w:rPr>
          <w:rFonts w:ascii="Times New Roman" w:eastAsia="Times New Roman" w:hAnsi="Times New Roman" w:cs="Times New Roman"/>
          <w:color w:val="3E3E3E"/>
          <w:lang w:eastAsia="es-ES_tradnl"/>
        </w:rPr>
        <w:t>pacientes  adecuadamente tratados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:</w:t>
      </w:r>
      <w:r w:rsidR="00003F3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mas del 90% recibía inhibidores del sistema renina-angiotensina y betabloqueantes y más del 70% antagonistas de los receptores de mineralocorticoides.</w:t>
      </w:r>
    </w:p>
    <w:p w14:paraId="4FAF585E" w14:textId="77777777" w:rsidR="00C93C5A" w:rsidRPr="00865F7D" w:rsidRDefault="00C93C5A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lastRenderedPageBreak/>
        <w:t>Este beneficio cl</w:t>
      </w:r>
      <w:r w:rsidR="003E6A7F" w:rsidRPr="00865F7D">
        <w:rPr>
          <w:rFonts w:ascii="Times New Roman" w:eastAsia="Times New Roman" w:hAnsi="Times New Roman" w:cs="Times New Roman"/>
          <w:color w:val="3E3E3E"/>
          <w:lang w:eastAsia="es-ES_tradnl"/>
        </w:rPr>
        <w:t>í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nico fue evidente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y precoz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en aquellos con y sin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DM2 </w:t>
      </w:r>
      <w:r w:rsidR="00164E78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dentro de los 3 meses de iniciado el tratamiento. Una mejoría sintomática expresada a traves del cuestionario de Kansas City fue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observada</w:t>
      </w:r>
      <w:r w:rsidR="00164E78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en aquellos que recibieron dapagliflozina</w:t>
      </w:r>
      <w:r w:rsidR="00003F3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</w:t>
      </w:r>
    </w:p>
    <w:p w14:paraId="14DDE1D9" w14:textId="77777777" w:rsidR="0069582A" w:rsidRPr="00865F7D" w:rsidRDefault="00600D54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Múltiples mecanismos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que expliquen estos resultados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han sido propuestos, sin embargo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hasta el momento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se encuentran inconclusos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>: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>u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no de ellos postula que la reducción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de la cardiotoxicidad relacionada con la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hiper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glucemia podría reducir el riesgo de eventos, sin embargo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al analizar los resultados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d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el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estudio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DAPA HF</w:t>
      </w:r>
      <w:r w:rsidR="002A043C" w:rsidRPr="00865F7D">
        <w:rPr>
          <w:rFonts w:ascii="Times New Roman" w:eastAsia="Times New Roman" w:hAnsi="Times New Roman" w:cs="Times New Roman"/>
          <w:color w:val="3E3E3E"/>
          <w:lang w:eastAsia="es-ES_tradnl"/>
        </w:rPr>
        <w:t>, el beneficio fue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similar en aquellos con sin diabetes. (4) </w:t>
      </w:r>
    </w:p>
    <w:p w14:paraId="1F2DF130" w14:textId="77777777" w:rsidR="0069582A" w:rsidRPr="00865F7D" w:rsidRDefault="0069582A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La acción natriurética de los iSGLT2 podría causar una reducción en el volumen plasmático o en el líquido intersticial, lo que podría reducir los volúmenes cardíacos e influir favorablemente en </w:t>
      </w:r>
      <w:r w:rsidR="00C86016" w:rsidRPr="00865F7D">
        <w:rPr>
          <w:rFonts w:ascii="Times New Roman" w:eastAsia="Times New Roman" w:hAnsi="Times New Roman" w:cs="Times New Roman"/>
          <w:color w:val="3E3E3E"/>
          <w:lang w:eastAsia="es-ES_tradnl"/>
        </w:rPr>
        <w:t>el remodelado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ventricular [</w:t>
      </w:r>
      <w:r w:rsidR="004E1DE8" w:rsidRPr="00865F7D">
        <w:rPr>
          <w:rFonts w:ascii="Times New Roman" w:eastAsia="Times New Roman" w:hAnsi="Times New Roman" w:cs="Times New Roman"/>
          <w:color w:val="3E3E3E"/>
          <w:lang w:eastAsia="es-ES_tradnl"/>
        </w:rPr>
        <w:t>5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]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, sin embargo </w:t>
      </w:r>
      <w:r w:rsidR="004E1DE8" w:rsidRPr="00865F7D">
        <w:rPr>
          <w:rFonts w:ascii="Times New Roman" w:eastAsia="Times New Roman" w:hAnsi="Times New Roman" w:cs="Times New Roman"/>
          <w:color w:val="3E3E3E"/>
          <w:lang w:eastAsia="es-ES_tradnl"/>
        </w:rPr>
        <w:t>si consideramos que no hubo cambios significativos en los niveles de NT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>p</w:t>
      </w:r>
      <w:r w:rsidR="004E1DE8" w:rsidRPr="00865F7D">
        <w:rPr>
          <w:rFonts w:ascii="Times New Roman" w:eastAsia="Times New Roman" w:hAnsi="Times New Roman" w:cs="Times New Roman"/>
          <w:color w:val="3E3E3E"/>
          <w:lang w:eastAsia="es-ES_tradnl"/>
        </w:rPr>
        <w:t>roBNP (10-15%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de reducción</w:t>
      </w:r>
      <w:r w:rsidR="004E1DE8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) y tampoco 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>se evidenció un descenso de la dosis del tratamiento</w:t>
      </w:r>
      <w:r w:rsidR="004E1DE8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diurétic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>o, la teoria del efecto diurético por si sola parecería no ser suficiente</w:t>
      </w:r>
      <w:r w:rsidR="004E1DE8" w:rsidRPr="00865F7D">
        <w:rPr>
          <w:rFonts w:ascii="Times New Roman" w:eastAsia="Times New Roman" w:hAnsi="Times New Roman" w:cs="Times New Roman"/>
          <w:color w:val="3E3E3E"/>
          <w:lang w:eastAsia="es-ES_tradnl"/>
        </w:rPr>
        <w:t>.</w:t>
      </w:r>
      <w:r w:rsidR="005F56DB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</w:p>
    <w:p w14:paraId="408A907C" w14:textId="77777777" w:rsidR="00477384" w:rsidRPr="00865F7D" w:rsidRDefault="00814AE3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Otro mecanismo propuesto es el del metabolismo de cuerpos cetónicos y acidos grasos. </w:t>
      </w:r>
      <w:r w:rsidR="005F56DB" w:rsidRPr="00865F7D">
        <w:rPr>
          <w:rFonts w:ascii="Times New Roman" w:eastAsia="Times New Roman" w:hAnsi="Times New Roman" w:cs="Times New Roman"/>
          <w:color w:val="3E3E3E"/>
          <w:lang w:eastAsia="es-ES_tradnl"/>
        </w:rPr>
        <w:t>Los i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SGLT2 podrían influir favorablemente en el equilibrio energ</w:t>
      </w:r>
      <w:r w:rsidR="005F56DB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ético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aumentando los niveles </w:t>
      </w:r>
      <w:r w:rsidR="005F56DB" w:rsidRPr="00865F7D">
        <w:rPr>
          <w:rFonts w:ascii="Times New Roman" w:eastAsia="Times New Roman" w:hAnsi="Times New Roman" w:cs="Times New Roman"/>
          <w:color w:val="3E3E3E"/>
          <w:lang w:eastAsia="es-ES_tradnl"/>
        </w:rPr>
        <w:t>séricos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de cuerpos cetónicos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, y su utilización por el miocardio</w:t>
      </w:r>
      <w:r w:rsidR="00477384" w:rsidRPr="00865F7D">
        <w:rPr>
          <w:rFonts w:ascii="Times New Roman" w:eastAsia="Times New Roman" w:hAnsi="Times New Roman" w:cs="Times New Roman"/>
          <w:color w:val="3E3E3E"/>
          <w:lang w:eastAsia="es-ES_tradnl"/>
        </w:rPr>
        <w:t>.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[</w:t>
      </w:r>
      <w:r w:rsidR="00477384" w:rsidRPr="00865F7D">
        <w:rPr>
          <w:rFonts w:ascii="Times New Roman" w:eastAsia="Times New Roman" w:hAnsi="Times New Roman" w:cs="Times New Roman"/>
          <w:color w:val="3E3E3E"/>
          <w:lang w:eastAsia="es-ES_tradnl"/>
        </w:rPr>
        <w:t>6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]</w:t>
      </w:r>
      <w:r w:rsidR="0047738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Aunque en sujetos no diabéticos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477384" w:rsidRPr="00865F7D">
        <w:rPr>
          <w:rFonts w:ascii="Times New Roman" w:eastAsia="Times New Roman" w:hAnsi="Times New Roman" w:cs="Times New Roman"/>
          <w:color w:val="3E3E3E"/>
          <w:lang w:eastAsia="es-ES_tradnl"/>
        </w:rPr>
        <w:t>este efecto parecería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diluirse</w:t>
      </w:r>
      <w:r w:rsidR="0047738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</w:t>
      </w:r>
    </w:p>
    <w:p w14:paraId="1ED5BAEB" w14:textId="77777777" w:rsidR="001B1406" w:rsidRPr="00865F7D" w:rsidRDefault="00477384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Las gliflozinas mejora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n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la síntesis de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eritropoyetina,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con</w:t>
      </w:r>
      <w:r w:rsidR="00814AE3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efecto beneficioso por el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aumento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de la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masa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de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gl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ó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bu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los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rojos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y aporte de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oxígeno al miocardio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[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7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>]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, </w:t>
      </w:r>
      <w:r w:rsidR="0069582A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sin embargo previamente darbopoyetina en el estudio RED HF no mostró beneficios en sujetos con IC y FEVI reducida, por lo que e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sta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acción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favorable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podría ser discutida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.</w:t>
      </w:r>
    </w:p>
    <w:p w14:paraId="087082FF" w14:textId="77777777" w:rsidR="00750AB7" w:rsidRPr="00865F7D" w:rsidRDefault="00750AB7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Finalmente, uno de los mecanismos mas probablemente vinculados con el impacto clínico, sea l</w:t>
      </w:r>
      <w:r w:rsidR="00AB6432" w:rsidRPr="00865F7D">
        <w:rPr>
          <w:rFonts w:ascii="Times New Roman" w:eastAsia="Times New Roman" w:hAnsi="Times New Roman" w:cs="Times New Roman"/>
          <w:color w:val="3E3E3E"/>
          <w:lang w:eastAsia="es-ES_tradnl"/>
        </w:rPr>
        <w:t>a</w:t>
      </w:r>
      <w:r w:rsidR="00477384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</w:t>
      </w:r>
      <w:r w:rsidR="00AB6432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inhibición de los intercambiadores sodio-hidrógeno (NHE)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a nivel miocárdico y vascular </w:t>
      </w:r>
      <w:r w:rsidR="00AB6432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por parte de este grupo farmacológico,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que </w:t>
      </w:r>
      <w:r w:rsidR="00AB6432" w:rsidRPr="00865F7D">
        <w:rPr>
          <w:rFonts w:ascii="Times New Roman" w:eastAsia="Times New Roman" w:hAnsi="Times New Roman" w:cs="Times New Roman"/>
          <w:color w:val="3E3E3E"/>
          <w:lang w:eastAsia="es-ES_tradnl"/>
        </w:rPr>
        <w:t>promueve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n</w:t>
      </w:r>
      <w:r w:rsidR="00AB6432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una reducción de 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injuria cardiaca, hipertrofia y fibrosis independiente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d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el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efecto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sobre la rea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b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sorción de sodio y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disminución de la 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>presión arterial. (8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,9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>)</w:t>
      </w:r>
    </w:p>
    <w:p w14:paraId="5F5E17E6" w14:textId="77777777" w:rsidR="001B1406" w:rsidRPr="00865F7D" w:rsidRDefault="00750AB7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Un segundo ensayo clínico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será publicado en el curso de este año: el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estudio EMPEROR Reduced, que incluyó sujetos con IC con F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EVI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reducida con y sin DM2 randomizados a empagliflozina 10 mg vs placebo.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En IC con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FEVI 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preservada se estan evaluando empagliflozina 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>(EMPEROR-Preserved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t>) y dapagliflozina (</w:t>
      </w:r>
      <w:r w:rsidR="00DB16AC" w:rsidRPr="00865F7D">
        <w:rPr>
          <w:rFonts w:ascii="Times New Roman" w:eastAsia="Times New Roman" w:hAnsi="Times New Roman" w:cs="Times New Roman"/>
          <w:color w:val="3E3E3E"/>
          <w:lang w:eastAsia="es-ES_tradnl"/>
        </w:rPr>
        <w:t>DELIVER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) en mas de 10 mil sujetos. </w:t>
      </w:r>
    </w:p>
    <w:p w14:paraId="37C7B34A" w14:textId="77777777" w:rsidR="0069582A" w:rsidRPr="00865F7D" w:rsidRDefault="001B1406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Se espera que estos ensayos confirmen el beneficio clínico observado con dapagliflozina, 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amplia</w:t>
      </w:r>
      <w:r w:rsidR="001C64F2" w:rsidRPr="00865F7D">
        <w:rPr>
          <w:rFonts w:ascii="Times New Roman" w:eastAsia="Times New Roman" w:hAnsi="Times New Roman" w:cs="Times New Roman"/>
          <w:color w:val="3E3E3E"/>
          <w:lang w:eastAsia="es-ES_tradnl"/>
        </w:rPr>
        <w:t>ndo la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indicación</w:t>
      </w:r>
      <w:r w:rsidR="001C64F2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de este grupo de fármacos a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todo el espectro de </w:t>
      </w:r>
      <w:r w:rsidR="002D0441" w:rsidRPr="00865F7D">
        <w:rPr>
          <w:rFonts w:ascii="Times New Roman" w:eastAsia="Times New Roman" w:hAnsi="Times New Roman" w:cs="Times New Roman"/>
          <w:color w:val="3E3E3E"/>
          <w:lang w:eastAsia="es-ES_tradnl"/>
        </w:rPr>
        <w:lastRenderedPageBreak/>
        <w:t>la IC</w:t>
      </w:r>
      <w:r w:rsidR="001C64F2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,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ayuda</w:t>
      </w:r>
      <w:r w:rsidR="001C64F2" w:rsidRPr="00865F7D">
        <w:rPr>
          <w:rFonts w:ascii="Times New Roman" w:eastAsia="Times New Roman" w:hAnsi="Times New Roman" w:cs="Times New Roman"/>
          <w:color w:val="3E3E3E"/>
          <w:lang w:eastAsia="es-ES_tradnl"/>
        </w:rPr>
        <w:t>ndo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a una mayor comprensión de cuales son sus mecanismos beneficiosos</w:t>
      </w:r>
      <w:r w:rsidR="001C64F2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y finalmente constituyendose como drogas cardio y nefroprotectoras con acción hipoglucemiante. Las gliflozinas pasarian asi a convertirse en parte del arsenal terapéutico cardiovascular utilizados de manera habitual por cardiólogos  y no solamente agentes para el tratamiento de la DM.</w:t>
      </w:r>
    </w:p>
    <w:p w14:paraId="0335E478" w14:textId="77777777" w:rsidR="00E1567C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</w:p>
    <w:p w14:paraId="458A871E" w14:textId="77777777" w:rsidR="00E1567C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CONCLUSIÓN</w:t>
      </w:r>
    </w:p>
    <w:p w14:paraId="6E6E543A" w14:textId="77777777" w:rsidR="00E1567C" w:rsidRPr="00865F7D" w:rsidRDefault="008D10BB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Entre los pacientes con IC y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FEVI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reducida,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Dapagliflozina reduce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el riesgo de empeoramiento de la 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>IC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o la muerte por causas cardiovasculares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Este resultado es 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independiente de la presencia</w:t>
      </w:r>
      <w:r w:rsidR="001B1406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 de DM2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. </w:t>
      </w:r>
    </w:p>
    <w:p w14:paraId="19A22D1C" w14:textId="77777777" w:rsidR="00E1567C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 </w:t>
      </w:r>
    </w:p>
    <w:p w14:paraId="7DA93E58" w14:textId="77777777" w:rsidR="00E1567C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REFERENC</w:t>
      </w:r>
      <w:r w:rsidR="00C16030" w:rsidRPr="00865F7D">
        <w:rPr>
          <w:rFonts w:ascii="Times New Roman" w:eastAsia="Times New Roman" w:hAnsi="Times New Roman" w:cs="Times New Roman"/>
          <w:color w:val="3E3E3E"/>
          <w:lang w:eastAsia="es-ES_tradnl"/>
        </w:rPr>
        <w:t>I</w:t>
      </w: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AS</w:t>
      </w:r>
    </w:p>
    <w:p w14:paraId="60C9B87E" w14:textId="77777777" w:rsidR="00E1567C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eastAsia="es-ES_tradnl"/>
        </w:rPr>
        <w:t>1)</w:t>
      </w:r>
      <w:r w:rsidR="00C16030" w:rsidRPr="00865F7D">
        <w:rPr>
          <w:rFonts w:ascii="Times New Roman" w:hAnsi="Times New Roman" w:cs="Times New Roman"/>
        </w:rPr>
        <w:t xml:space="preserve"> </w:t>
      </w:r>
      <w:r w:rsidR="00C16030" w:rsidRPr="00865F7D">
        <w:rPr>
          <w:rFonts w:ascii="Times New Roman" w:eastAsia="Times New Roman" w:hAnsi="Times New Roman" w:cs="Times New Roman"/>
          <w:color w:val="3E3E3E"/>
          <w:lang w:eastAsia="es-ES_tradnl"/>
        </w:rPr>
        <w:t xml:space="preserve">Zelniker TA, Wiviott SD, Raz I, Im K, Goodrich EL, Bonaca MP, Mosenzon O, Kato ET, Cahn A, Furtado RHM, Bhatt DL, Leiter LA, McGuire DK, Wilding JPH, Sabatine MS. </w:t>
      </w:r>
      <w:r w:rsidR="00C16030"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SGLT2 inhibitors for primary and secondary prevention of cardiovascular and renal outcomes in type 2 diabetes: a systematic review and meta-analysis of cardiovascular outcome trials. Lancet. 2019</w:t>
      </w:r>
      <w:proofErr w:type="gramStart"/>
      <w:r w:rsidR="00C16030"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;393:31</w:t>
      </w:r>
      <w:proofErr w:type="gramEnd"/>
      <w:r w:rsidR="00C16030"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–9.</w:t>
      </w:r>
    </w:p>
    <w:p w14:paraId="35B7A3CC" w14:textId="77777777" w:rsidR="00E1567C" w:rsidRPr="00865F7D" w:rsidRDefault="00E1567C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2)  McMurray J</w:t>
      </w:r>
      <w:proofErr w:type="gram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, .</w:t>
      </w:r>
      <w:proofErr w:type="gram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Solomon S,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Inzucchi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S,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Køber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L,</w:t>
      </w:r>
      <w:proofErr w:type="gram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 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Kosiborod</w:t>
      </w:r>
      <w:proofErr w:type="spellEnd"/>
      <w:proofErr w:type="gram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M, Martinez F, et al. Dapagliflozin in Patients with Heart Failure and Reduced Ejection Fraction. NEJM 2019.DOI: 10.1056/NEJMoa1911303</w:t>
      </w:r>
    </w:p>
    <w:p w14:paraId="6113A3C5" w14:textId="77777777" w:rsidR="00E1567C" w:rsidRPr="00865F7D" w:rsidRDefault="00C16030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3</w:t>
      </w:r>
      <w:r w:rsidR="00E1567C"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)  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Ducheix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S,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Magré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J,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Cariou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B,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Prieur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X. Chronic O-GlcNAcylation and diabetic cardiomyopathy: the bitterness of glucose. Front Endocrinol (Lausanne). 2018;29(9):642</w:t>
      </w:r>
    </w:p>
    <w:p w14:paraId="497EB487" w14:textId="77777777" w:rsidR="0069582A" w:rsidRPr="00865F7D" w:rsidRDefault="0069582A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4)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Ducheix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S,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Magré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J,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Cariou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B,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Prieur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X. Chronic O-GlcNAcylation and diabetic cardiomyopathy: the bitterness of glucose. Front Endocrinol (Lausanne). 2018;29(9):642.</w:t>
      </w:r>
    </w:p>
    <w:p w14:paraId="1CE07177" w14:textId="77777777" w:rsidR="004E1DE8" w:rsidRPr="00865F7D" w:rsidRDefault="004E1DE8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5)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Dekkers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CCJ,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Sjöström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CD, Greasley PJ, Cain V,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Boulton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DW,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Heerspink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HJL. Effects of the sodium-glucose co-transporter-2 inhibitor dapagliflozin</w:t>
      </w:r>
    </w:p>
    <w:p w14:paraId="696DB493" w14:textId="77777777" w:rsidR="004E1DE8" w:rsidRPr="00865F7D" w:rsidRDefault="004E1DE8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on estimated plasma volume in patients with type 2 diabetes. Diabetes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Obes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Metab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. 2019.</w:t>
      </w:r>
    </w:p>
    <w:p w14:paraId="30B55D25" w14:textId="77777777" w:rsidR="00477384" w:rsidRPr="00865F7D" w:rsidRDefault="00477384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6)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Mudaliar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S,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Alloju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S, Henry RR. Can a shift in fuel energetics explain the beneficial cardiorenal outcomes in the EMPA-REG OUTCOME study? A unifying hypothesis. Diabetes Care. 2016</w:t>
      </w:r>
      <w:proofErr w:type="gram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;39:1115</w:t>
      </w:r>
      <w:proofErr w:type="gram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–22.</w:t>
      </w:r>
    </w:p>
    <w:p w14:paraId="38C323F1" w14:textId="77777777" w:rsidR="00C16030" w:rsidRPr="00865F7D" w:rsidRDefault="00477384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lastRenderedPageBreak/>
        <w:t xml:space="preserve">7) Sano M, Takei M,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Shiraishi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Y, Suzuki Y. Increased hematocrit during sodium-glucose cotransporter 2 inhibitor therapy indicates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recov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-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ery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of </w:t>
      </w:r>
      <w:proofErr w:type="spell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tubulointerstitial</w:t>
      </w:r>
      <w:proofErr w:type="spell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 xml:space="preserve"> function in diabetic kidneys. J Clin Med Res. 2016</w:t>
      </w:r>
      <w:proofErr w:type="gramStart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;8:844</w:t>
      </w:r>
      <w:proofErr w:type="gramEnd"/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–7.</w:t>
      </w:r>
    </w:p>
    <w:p w14:paraId="3146A3AD" w14:textId="77777777" w:rsidR="00AB6432" w:rsidRPr="00865F7D" w:rsidRDefault="00AB6432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8)  Packer M. Activation and Inhibition of Sodium-Hydrogen Exchanger Is a Mechanism That Links the Pathophysiology and Treatment of Diabetes Mellitus With That of Heart Failure. Circulation. 2017 Oct 17;136(16):1548-1559.</w:t>
      </w:r>
    </w:p>
    <w:p w14:paraId="7E01F67D" w14:textId="77777777" w:rsidR="00E1567C" w:rsidRPr="00865F7D" w:rsidRDefault="00750AB7" w:rsidP="008D10B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E3E3E"/>
          <w:lang w:val="en-US" w:eastAsia="es-ES_tradnl"/>
        </w:rPr>
      </w:pPr>
      <w:r w:rsidRPr="00865F7D">
        <w:rPr>
          <w:rFonts w:ascii="Times New Roman" w:eastAsia="Times New Roman" w:hAnsi="Times New Roman" w:cs="Times New Roman"/>
          <w:color w:val="3E3E3E"/>
          <w:lang w:val="en-US" w:eastAsia="es-ES_tradnl"/>
        </w:rPr>
        <w:t>9) Packer M. Reconceptualization of the molecular mechanism by which sodium-glucose cotransporter 2 inhibitors reduce the risk of heart failure events. Circulation. 2019;140:443–5.</w:t>
      </w:r>
    </w:p>
    <w:p w14:paraId="2C5A2707" w14:textId="77777777" w:rsidR="00466244" w:rsidRPr="00865F7D" w:rsidRDefault="00466244">
      <w:pPr>
        <w:rPr>
          <w:rFonts w:ascii="Times New Roman" w:hAnsi="Times New Roman" w:cs="Times New Roman"/>
        </w:rPr>
      </w:pPr>
    </w:p>
    <w:sectPr w:rsidR="00466244" w:rsidRPr="00865F7D" w:rsidSect="00AC6E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659"/>
    <w:multiLevelType w:val="multilevel"/>
    <w:tmpl w:val="BE9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7124C"/>
    <w:multiLevelType w:val="multilevel"/>
    <w:tmpl w:val="5BA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7C"/>
    <w:rsid w:val="00003F36"/>
    <w:rsid w:val="00062563"/>
    <w:rsid w:val="0009391E"/>
    <w:rsid w:val="00157BE6"/>
    <w:rsid w:val="00164E78"/>
    <w:rsid w:val="001B1406"/>
    <w:rsid w:val="001C64F2"/>
    <w:rsid w:val="002033E0"/>
    <w:rsid w:val="00265364"/>
    <w:rsid w:val="002A043C"/>
    <w:rsid w:val="002D0441"/>
    <w:rsid w:val="002D06E7"/>
    <w:rsid w:val="003C120B"/>
    <w:rsid w:val="003E6A7F"/>
    <w:rsid w:val="00466244"/>
    <w:rsid w:val="00477384"/>
    <w:rsid w:val="004816F4"/>
    <w:rsid w:val="00484C07"/>
    <w:rsid w:val="004A5FE0"/>
    <w:rsid w:val="004E1DE8"/>
    <w:rsid w:val="004F6960"/>
    <w:rsid w:val="005F56DB"/>
    <w:rsid w:val="00600D54"/>
    <w:rsid w:val="0069582A"/>
    <w:rsid w:val="00750AB7"/>
    <w:rsid w:val="007C56F4"/>
    <w:rsid w:val="00814AE3"/>
    <w:rsid w:val="008511CD"/>
    <w:rsid w:val="00865F7D"/>
    <w:rsid w:val="008D10BB"/>
    <w:rsid w:val="00A766E1"/>
    <w:rsid w:val="00AB6432"/>
    <w:rsid w:val="00AC6E25"/>
    <w:rsid w:val="00B002BF"/>
    <w:rsid w:val="00B82645"/>
    <w:rsid w:val="00C16030"/>
    <w:rsid w:val="00C754E8"/>
    <w:rsid w:val="00C86016"/>
    <w:rsid w:val="00C93C5A"/>
    <w:rsid w:val="00DB16AC"/>
    <w:rsid w:val="00E1567C"/>
    <w:rsid w:val="00E21CE4"/>
    <w:rsid w:val="00E84F61"/>
    <w:rsid w:val="00F82597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6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E1567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tulo6">
    <w:name w:val="heading 6"/>
    <w:basedOn w:val="Normal"/>
    <w:link w:val="Ttulo6Car"/>
    <w:uiPriority w:val="9"/>
    <w:qFormat/>
    <w:rsid w:val="00E1567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1567C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1567C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15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E1567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tulo6">
    <w:name w:val="heading 6"/>
    <w:basedOn w:val="Normal"/>
    <w:link w:val="Ttulo6Car"/>
    <w:uiPriority w:val="9"/>
    <w:qFormat/>
    <w:rsid w:val="00E1567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1567C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1567C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15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5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2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0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0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870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307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single" w:sz="6" w:space="15" w:color="E9E9E9"/>
                <w:right w:val="none" w:sz="0" w:space="0" w:color="auto"/>
              </w:divBdr>
            </w:div>
          </w:divsChild>
        </w:div>
      </w:divsChild>
    </w:div>
    <w:div w:id="1842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UCIC CUATRO</cp:lastModifiedBy>
  <cp:revision>9</cp:revision>
  <dcterms:created xsi:type="dcterms:W3CDTF">2020-07-08T20:36:00Z</dcterms:created>
  <dcterms:modified xsi:type="dcterms:W3CDTF">2020-07-14T13:10:00Z</dcterms:modified>
</cp:coreProperties>
</file>