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973C7F" w14:textId="10A610F3" w:rsidR="00305A0C" w:rsidRPr="00705872" w:rsidRDefault="00142160" w:rsidP="00FA2E5A">
      <w:pPr>
        <w:pStyle w:val="Sinespaciado"/>
        <w:jc w:val="center"/>
        <w:rPr>
          <w:rFonts w:ascii="Times New Roman" w:hAnsi="Times New Roman" w:cs="Times New Roman"/>
          <w:b/>
          <w:bCs/>
          <w:sz w:val="24"/>
        </w:rPr>
      </w:pPr>
      <w:r w:rsidRPr="00705872">
        <w:rPr>
          <w:rFonts w:ascii="Times New Roman" w:hAnsi="Times New Roman" w:cs="Times New Roman"/>
          <w:b/>
          <w:bCs/>
          <w:sz w:val="24"/>
        </w:rPr>
        <w:t>Analizando el e</w:t>
      </w:r>
      <w:r w:rsidR="0008634B" w:rsidRPr="00705872">
        <w:rPr>
          <w:rFonts w:ascii="Times New Roman" w:hAnsi="Times New Roman" w:cs="Times New Roman"/>
          <w:b/>
          <w:bCs/>
          <w:sz w:val="24"/>
        </w:rPr>
        <w:t xml:space="preserve">studio AUGUSTUS: </w:t>
      </w:r>
      <w:r w:rsidR="003C13CC" w:rsidRPr="00705872">
        <w:rPr>
          <w:rFonts w:ascii="Times New Roman" w:hAnsi="Times New Roman" w:cs="Times New Roman"/>
          <w:b/>
          <w:bCs/>
          <w:sz w:val="24"/>
        </w:rPr>
        <w:t>¿</w:t>
      </w:r>
      <w:r w:rsidR="008321E2" w:rsidRPr="00705872">
        <w:rPr>
          <w:rFonts w:ascii="Times New Roman" w:hAnsi="Times New Roman" w:cs="Times New Roman"/>
          <w:b/>
          <w:bCs/>
          <w:sz w:val="24"/>
        </w:rPr>
        <w:t>T</w:t>
      </w:r>
      <w:r w:rsidR="00AB680E" w:rsidRPr="00705872">
        <w:rPr>
          <w:rFonts w:ascii="Times New Roman" w:hAnsi="Times New Roman" w:cs="Times New Roman"/>
          <w:b/>
          <w:bCs/>
          <w:sz w:val="24"/>
        </w:rPr>
        <w:t xml:space="preserve">odavía </w:t>
      </w:r>
      <w:r w:rsidR="00CA290C" w:rsidRPr="00705872">
        <w:rPr>
          <w:rFonts w:ascii="Times New Roman" w:hAnsi="Times New Roman" w:cs="Times New Roman"/>
          <w:b/>
          <w:bCs/>
          <w:sz w:val="24"/>
        </w:rPr>
        <w:t xml:space="preserve">indicamos </w:t>
      </w:r>
      <w:r w:rsidR="00AB680E" w:rsidRPr="00705872">
        <w:rPr>
          <w:rFonts w:ascii="Times New Roman" w:hAnsi="Times New Roman" w:cs="Times New Roman"/>
          <w:b/>
          <w:bCs/>
          <w:sz w:val="24"/>
        </w:rPr>
        <w:t>aspirina</w:t>
      </w:r>
      <w:r w:rsidR="003C13CC" w:rsidRPr="00705872">
        <w:rPr>
          <w:rFonts w:ascii="Times New Roman" w:hAnsi="Times New Roman" w:cs="Times New Roman"/>
          <w:b/>
          <w:bCs/>
          <w:sz w:val="24"/>
        </w:rPr>
        <w:t>?</w:t>
      </w:r>
    </w:p>
    <w:p w14:paraId="4DE4F612" w14:textId="77777777" w:rsidR="008321E2" w:rsidRPr="00705872" w:rsidRDefault="008321E2" w:rsidP="006160CE">
      <w:pPr>
        <w:pStyle w:val="Sinespaciado"/>
        <w:rPr>
          <w:rFonts w:ascii="Times New Roman" w:hAnsi="Times New Roman" w:cs="Times New Roman"/>
          <w:b/>
          <w:bCs/>
          <w:sz w:val="24"/>
        </w:rPr>
      </w:pPr>
    </w:p>
    <w:p w14:paraId="3DFF83CC" w14:textId="77777777" w:rsidR="00FA2E5A" w:rsidRPr="00705872" w:rsidRDefault="00FA2E5A" w:rsidP="006160CE">
      <w:pPr>
        <w:pStyle w:val="Sinespaciado"/>
        <w:rPr>
          <w:rFonts w:ascii="Times New Roman" w:hAnsi="Times New Roman" w:cs="Times New Roman"/>
          <w:b/>
          <w:bCs/>
          <w:sz w:val="24"/>
        </w:rPr>
      </w:pPr>
    </w:p>
    <w:p w14:paraId="03DB1A2F" w14:textId="1552072A" w:rsidR="00AB680E" w:rsidRPr="00705872" w:rsidRDefault="00705872" w:rsidP="006160CE">
      <w:pPr>
        <w:pStyle w:val="Sinespaciado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Dra. </w:t>
      </w:r>
      <w:r w:rsidR="00012D05" w:rsidRPr="00705872">
        <w:rPr>
          <w:rFonts w:ascii="Times New Roman" w:hAnsi="Times New Roman" w:cs="Times New Roman"/>
          <w:bCs/>
          <w:sz w:val="24"/>
        </w:rPr>
        <w:t xml:space="preserve">Mónica Natalia </w:t>
      </w:r>
      <w:proofErr w:type="spellStart"/>
      <w:r w:rsidR="00012D05" w:rsidRPr="00705872">
        <w:rPr>
          <w:rFonts w:ascii="Times New Roman" w:hAnsi="Times New Roman" w:cs="Times New Roman"/>
          <w:bCs/>
          <w:sz w:val="24"/>
        </w:rPr>
        <w:t>Cocco</w:t>
      </w:r>
      <w:proofErr w:type="spellEnd"/>
    </w:p>
    <w:p w14:paraId="292AEEDC" w14:textId="6440724C" w:rsidR="00012D05" w:rsidRPr="00705872" w:rsidRDefault="008321E2" w:rsidP="006160CE">
      <w:pPr>
        <w:pStyle w:val="Sinespaciado"/>
        <w:rPr>
          <w:rFonts w:ascii="Times New Roman" w:hAnsi="Times New Roman" w:cs="Times New Roman"/>
          <w:bCs/>
          <w:sz w:val="24"/>
        </w:rPr>
      </w:pPr>
      <w:r w:rsidRPr="00705872">
        <w:rPr>
          <w:rFonts w:ascii="Times New Roman" w:hAnsi="Times New Roman" w:cs="Times New Roman"/>
          <w:bCs/>
          <w:sz w:val="24"/>
        </w:rPr>
        <w:t>Cardiología Nuclear</w:t>
      </w:r>
    </w:p>
    <w:p w14:paraId="7E1CBFE9" w14:textId="0E01F514" w:rsidR="009A3AB2" w:rsidRPr="00705872" w:rsidRDefault="009A3AB2" w:rsidP="006160CE">
      <w:pPr>
        <w:pStyle w:val="Sinespaciado"/>
        <w:rPr>
          <w:rFonts w:ascii="Times New Roman" w:hAnsi="Times New Roman" w:cs="Times New Roman"/>
          <w:bCs/>
          <w:sz w:val="24"/>
        </w:rPr>
      </w:pPr>
      <w:r w:rsidRPr="00705872">
        <w:rPr>
          <w:rFonts w:ascii="Times New Roman" w:hAnsi="Times New Roman" w:cs="Times New Roman"/>
          <w:bCs/>
          <w:sz w:val="24"/>
        </w:rPr>
        <w:t>Instituto de Cardiología de Corrientes</w:t>
      </w:r>
      <w:r w:rsidR="0090615F" w:rsidRPr="00705872">
        <w:rPr>
          <w:rFonts w:ascii="Times New Roman" w:hAnsi="Times New Roman" w:cs="Times New Roman"/>
          <w:bCs/>
          <w:sz w:val="24"/>
        </w:rPr>
        <w:t xml:space="preserve"> </w:t>
      </w:r>
      <w:r w:rsidR="008321E2" w:rsidRPr="00705872">
        <w:rPr>
          <w:rFonts w:ascii="Times New Roman" w:hAnsi="Times New Roman" w:cs="Times New Roman"/>
          <w:bCs/>
          <w:sz w:val="24"/>
        </w:rPr>
        <w:t>“</w:t>
      </w:r>
      <w:r w:rsidR="0090615F" w:rsidRPr="00705872">
        <w:rPr>
          <w:rFonts w:ascii="Times New Roman" w:hAnsi="Times New Roman" w:cs="Times New Roman"/>
          <w:bCs/>
          <w:sz w:val="24"/>
        </w:rPr>
        <w:t>Juana F</w:t>
      </w:r>
      <w:r w:rsidR="008321E2" w:rsidRPr="00705872">
        <w:rPr>
          <w:rFonts w:ascii="Times New Roman" w:hAnsi="Times New Roman" w:cs="Times New Roman"/>
          <w:bCs/>
          <w:sz w:val="24"/>
        </w:rPr>
        <w:t>.</w:t>
      </w:r>
      <w:r w:rsidR="0090615F" w:rsidRPr="00705872">
        <w:rPr>
          <w:rFonts w:ascii="Times New Roman" w:hAnsi="Times New Roman" w:cs="Times New Roman"/>
          <w:bCs/>
          <w:sz w:val="24"/>
        </w:rPr>
        <w:t xml:space="preserve"> Cabral</w:t>
      </w:r>
      <w:r w:rsidR="008321E2" w:rsidRPr="00705872">
        <w:rPr>
          <w:rFonts w:ascii="Times New Roman" w:hAnsi="Times New Roman" w:cs="Times New Roman"/>
          <w:bCs/>
          <w:sz w:val="24"/>
        </w:rPr>
        <w:t>”</w:t>
      </w:r>
    </w:p>
    <w:p w14:paraId="7889A9B4" w14:textId="77777777" w:rsidR="001A20ED" w:rsidRPr="00705872" w:rsidRDefault="006160CE" w:rsidP="006160CE">
      <w:pPr>
        <w:pStyle w:val="Sinespaciado"/>
        <w:rPr>
          <w:rFonts w:ascii="Times New Roman" w:hAnsi="Times New Roman" w:cs="Times New Roman"/>
          <w:sz w:val="24"/>
        </w:rPr>
      </w:pPr>
      <w:r w:rsidRPr="00705872">
        <w:rPr>
          <w:rFonts w:ascii="Times New Roman" w:hAnsi="Times New Roman" w:cs="Times New Roman"/>
          <w:sz w:val="24"/>
        </w:rPr>
        <w:t xml:space="preserve">   </w:t>
      </w:r>
    </w:p>
    <w:p w14:paraId="5E780909" w14:textId="77777777" w:rsidR="00FA2E5A" w:rsidRPr="00705872" w:rsidRDefault="00FA2E5A" w:rsidP="006160CE">
      <w:pPr>
        <w:pStyle w:val="Sinespaciado"/>
        <w:rPr>
          <w:rFonts w:ascii="Times New Roman" w:hAnsi="Times New Roman" w:cs="Times New Roman"/>
          <w:sz w:val="24"/>
        </w:rPr>
      </w:pPr>
    </w:p>
    <w:p w14:paraId="441ED02A" w14:textId="04742CA0" w:rsidR="005803B6" w:rsidRPr="00705872" w:rsidRDefault="001A20ED" w:rsidP="00BA5B33">
      <w:pPr>
        <w:pStyle w:val="Sinespaciado"/>
        <w:jc w:val="both"/>
        <w:rPr>
          <w:rFonts w:ascii="Times New Roman" w:hAnsi="Times New Roman" w:cs="Times New Roman"/>
          <w:sz w:val="24"/>
        </w:rPr>
      </w:pPr>
      <w:r w:rsidRPr="00705872">
        <w:rPr>
          <w:rFonts w:ascii="Times New Roman" w:hAnsi="Times New Roman" w:cs="Times New Roman"/>
          <w:sz w:val="24"/>
        </w:rPr>
        <w:t xml:space="preserve">     </w:t>
      </w:r>
      <w:r w:rsidR="005803B6" w:rsidRPr="00705872">
        <w:rPr>
          <w:rFonts w:ascii="Times New Roman" w:hAnsi="Times New Roman" w:cs="Times New Roman"/>
          <w:sz w:val="24"/>
        </w:rPr>
        <w:t>La elección del</w:t>
      </w:r>
      <w:r w:rsidR="00816C80" w:rsidRPr="00705872">
        <w:rPr>
          <w:rFonts w:ascii="Times New Roman" w:hAnsi="Times New Roman" w:cs="Times New Roman"/>
          <w:sz w:val="24"/>
        </w:rPr>
        <w:t xml:space="preserve"> tratamiento antitrombótico </w:t>
      </w:r>
      <w:r w:rsidR="00535EF2" w:rsidRPr="00705872">
        <w:rPr>
          <w:rFonts w:ascii="Times New Roman" w:hAnsi="Times New Roman" w:cs="Times New Roman"/>
          <w:sz w:val="24"/>
        </w:rPr>
        <w:t xml:space="preserve">en pacientes con fibrilación auricular, que presenten un síndrome coronario agudo (SCA) o se realicen angioplastia coronaria (ATC) </w:t>
      </w:r>
      <w:r w:rsidR="00272DD7" w:rsidRPr="00705872">
        <w:rPr>
          <w:rFonts w:ascii="Times New Roman" w:hAnsi="Times New Roman" w:cs="Times New Roman"/>
          <w:sz w:val="24"/>
        </w:rPr>
        <w:t>ha sido siempre un desafío</w:t>
      </w:r>
      <w:r w:rsidR="005803B6" w:rsidRPr="00705872">
        <w:rPr>
          <w:rFonts w:ascii="Times New Roman" w:hAnsi="Times New Roman" w:cs="Times New Roman"/>
          <w:sz w:val="24"/>
        </w:rPr>
        <w:t xml:space="preserve">, donde los antagonistas de la vitamina K no han demostrado prevenir la trombosis del stent y la </w:t>
      </w:r>
      <w:r w:rsidR="00E30B46" w:rsidRPr="00705872">
        <w:rPr>
          <w:rFonts w:ascii="Times New Roman" w:hAnsi="Times New Roman" w:cs="Times New Roman"/>
          <w:sz w:val="24"/>
        </w:rPr>
        <w:t xml:space="preserve">doble </w:t>
      </w:r>
      <w:r w:rsidR="005803B6" w:rsidRPr="00705872">
        <w:rPr>
          <w:rFonts w:ascii="Times New Roman" w:hAnsi="Times New Roman" w:cs="Times New Roman"/>
          <w:sz w:val="24"/>
        </w:rPr>
        <w:t xml:space="preserve">terapia antiplaquetaria </w:t>
      </w:r>
      <w:r w:rsidR="00B136EA" w:rsidRPr="00705872">
        <w:rPr>
          <w:rFonts w:ascii="Times New Roman" w:hAnsi="Times New Roman" w:cs="Times New Roman"/>
          <w:sz w:val="24"/>
        </w:rPr>
        <w:t xml:space="preserve">(generalmente aspirina con clopidogrel) </w:t>
      </w:r>
      <w:r w:rsidR="005803B6" w:rsidRPr="00705872">
        <w:rPr>
          <w:rFonts w:ascii="Times New Roman" w:hAnsi="Times New Roman" w:cs="Times New Roman"/>
          <w:sz w:val="24"/>
        </w:rPr>
        <w:t xml:space="preserve">no suministra adecuada protección ante </w:t>
      </w:r>
      <w:r w:rsidR="006C4035" w:rsidRPr="00705872">
        <w:rPr>
          <w:rFonts w:ascii="Times New Roman" w:hAnsi="Times New Roman" w:cs="Times New Roman"/>
          <w:sz w:val="24"/>
        </w:rPr>
        <w:t xml:space="preserve">un </w:t>
      </w:r>
      <w:r w:rsidR="005803B6" w:rsidRPr="00705872">
        <w:rPr>
          <w:rFonts w:ascii="Times New Roman" w:hAnsi="Times New Roman" w:cs="Times New Roman"/>
          <w:sz w:val="24"/>
        </w:rPr>
        <w:t>accidente cerebrovascular relacionado a fibrilación auricular</w:t>
      </w:r>
      <w:r w:rsidR="0099124F" w:rsidRPr="00705872">
        <w:rPr>
          <w:rFonts w:ascii="Times New Roman" w:hAnsi="Times New Roman" w:cs="Times New Roman"/>
          <w:sz w:val="24"/>
        </w:rPr>
        <w:t xml:space="preserve"> (FA)</w:t>
      </w:r>
      <w:r w:rsidR="00B136EA" w:rsidRPr="00705872">
        <w:rPr>
          <w:rFonts w:ascii="Times New Roman" w:hAnsi="Times New Roman" w:cs="Times New Roman"/>
          <w:sz w:val="24"/>
        </w:rPr>
        <w:t>, por lo que se indicaba una triple terapia antitrombótica, que, sin embargo</w:t>
      </w:r>
      <w:r w:rsidR="0002163F" w:rsidRPr="00705872">
        <w:rPr>
          <w:rFonts w:ascii="Times New Roman" w:hAnsi="Times New Roman" w:cs="Times New Roman"/>
          <w:sz w:val="24"/>
        </w:rPr>
        <w:t>,</w:t>
      </w:r>
      <w:r w:rsidR="00B136EA" w:rsidRPr="00705872">
        <w:rPr>
          <w:rFonts w:ascii="Times New Roman" w:hAnsi="Times New Roman" w:cs="Times New Roman"/>
          <w:sz w:val="24"/>
        </w:rPr>
        <w:t xml:space="preserve"> ha estado en permanente revisión debido al incremento del riesgo de sangrado. </w:t>
      </w:r>
      <w:r w:rsidR="00920436" w:rsidRPr="00705872">
        <w:rPr>
          <w:rFonts w:ascii="Times New Roman" w:hAnsi="Times New Roman" w:cs="Times New Roman"/>
          <w:sz w:val="24"/>
        </w:rPr>
        <w:t xml:space="preserve">En ese sentido, </w:t>
      </w:r>
      <w:r w:rsidR="0027233C" w:rsidRPr="00705872">
        <w:rPr>
          <w:rFonts w:ascii="Times New Roman" w:hAnsi="Times New Roman" w:cs="Times New Roman"/>
          <w:sz w:val="24"/>
        </w:rPr>
        <w:t xml:space="preserve">se han </w:t>
      </w:r>
      <w:r w:rsidR="004E72A3" w:rsidRPr="00705872">
        <w:rPr>
          <w:rFonts w:ascii="Times New Roman" w:hAnsi="Times New Roman" w:cs="Times New Roman"/>
          <w:sz w:val="24"/>
        </w:rPr>
        <w:t>publicado</w:t>
      </w:r>
      <w:r w:rsidR="0027233C" w:rsidRPr="00705872">
        <w:rPr>
          <w:rFonts w:ascii="Times New Roman" w:hAnsi="Times New Roman" w:cs="Times New Roman"/>
          <w:sz w:val="24"/>
        </w:rPr>
        <w:t xml:space="preserve"> estudios con diferentes regímenes de anticoagulantes </w:t>
      </w:r>
      <w:r w:rsidR="004E72A3" w:rsidRPr="00705872">
        <w:rPr>
          <w:rFonts w:ascii="Times New Roman" w:hAnsi="Times New Roman" w:cs="Times New Roman"/>
          <w:sz w:val="24"/>
        </w:rPr>
        <w:t>que perseguían el objetivo</w:t>
      </w:r>
      <w:r w:rsidR="0027233C" w:rsidRPr="00705872">
        <w:rPr>
          <w:rFonts w:ascii="Times New Roman" w:hAnsi="Times New Roman" w:cs="Times New Roman"/>
          <w:sz w:val="24"/>
        </w:rPr>
        <w:t xml:space="preserve"> de reducir el riesgo de sangrado sin incrementar la incidencia de eventos cardioembólicos y coronarios, </w:t>
      </w:r>
      <w:r w:rsidR="004E72A3" w:rsidRPr="00705872">
        <w:rPr>
          <w:rFonts w:ascii="Times New Roman" w:hAnsi="Times New Roman" w:cs="Times New Roman"/>
          <w:sz w:val="24"/>
        </w:rPr>
        <w:t xml:space="preserve">y </w:t>
      </w:r>
      <w:r w:rsidR="0027233C" w:rsidRPr="00705872">
        <w:rPr>
          <w:rFonts w:ascii="Times New Roman" w:hAnsi="Times New Roman" w:cs="Times New Roman"/>
          <w:sz w:val="24"/>
        </w:rPr>
        <w:t xml:space="preserve">donde </w:t>
      </w:r>
      <w:r w:rsidR="00920436" w:rsidRPr="00705872">
        <w:rPr>
          <w:rFonts w:ascii="Times New Roman" w:hAnsi="Times New Roman" w:cs="Times New Roman"/>
          <w:sz w:val="24"/>
        </w:rPr>
        <w:t xml:space="preserve">los anticoagulantes orales </w:t>
      </w:r>
      <w:r w:rsidR="004E72A3" w:rsidRPr="00705872">
        <w:rPr>
          <w:rFonts w:ascii="Times New Roman" w:hAnsi="Times New Roman" w:cs="Times New Roman"/>
          <w:sz w:val="24"/>
        </w:rPr>
        <w:t>directos</w:t>
      </w:r>
      <w:r w:rsidR="00920436" w:rsidRPr="00705872">
        <w:rPr>
          <w:rFonts w:ascii="Times New Roman" w:hAnsi="Times New Roman" w:cs="Times New Roman"/>
          <w:sz w:val="24"/>
        </w:rPr>
        <w:t xml:space="preserve"> parecen ofrecer ciertas ventajas por sobre los antagonistas de la vitamina K. </w:t>
      </w:r>
    </w:p>
    <w:p w14:paraId="5ECD1C27" w14:textId="6E6AC0F9" w:rsidR="00DA02C7" w:rsidRPr="00705872" w:rsidRDefault="00920436" w:rsidP="00BA5B33">
      <w:pPr>
        <w:pStyle w:val="Sinespaciado"/>
        <w:jc w:val="both"/>
        <w:rPr>
          <w:rFonts w:ascii="Times New Roman" w:hAnsi="Times New Roman" w:cs="Times New Roman"/>
          <w:sz w:val="24"/>
        </w:rPr>
      </w:pPr>
      <w:r w:rsidRPr="00705872">
        <w:rPr>
          <w:rFonts w:ascii="Times New Roman" w:hAnsi="Times New Roman" w:cs="Times New Roman"/>
          <w:sz w:val="24"/>
        </w:rPr>
        <w:t xml:space="preserve">     </w:t>
      </w:r>
      <w:r w:rsidR="00811FFD" w:rsidRPr="00705872">
        <w:rPr>
          <w:rFonts w:ascii="Times New Roman" w:hAnsi="Times New Roman" w:cs="Times New Roman"/>
          <w:sz w:val="24"/>
        </w:rPr>
        <w:t xml:space="preserve">Con estos antecedentes y con el objetivo </w:t>
      </w:r>
      <w:r w:rsidR="00213550" w:rsidRPr="00705872">
        <w:rPr>
          <w:rFonts w:ascii="Times New Roman" w:hAnsi="Times New Roman" w:cs="Times New Roman"/>
          <w:sz w:val="24"/>
        </w:rPr>
        <w:t>de responder a 2 interrogantes</w:t>
      </w:r>
      <w:r w:rsidR="008F5E2D" w:rsidRPr="00705872">
        <w:rPr>
          <w:rFonts w:ascii="Times New Roman" w:hAnsi="Times New Roman" w:cs="Times New Roman"/>
          <w:sz w:val="24"/>
        </w:rPr>
        <w:t xml:space="preserve"> </w:t>
      </w:r>
      <w:r w:rsidR="00D60517" w:rsidRPr="00705872">
        <w:rPr>
          <w:rFonts w:ascii="Times New Roman" w:hAnsi="Times New Roman" w:cs="Times New Roman"/>
          <w:sz w:val="24"/>
        </w:rPr>
        <w:t>respecto al tratamiento</w:t>
      </w:r>
      <w:r w:rsidR="00721804" w:rsidRPr="00705872">
        <w:rPr>
          <w:rFonts w:ascii="Times New Roman" w:hAnsi="Times New Roman" w:cs="Times New Roman"/>
          <w:sz w:val="24"/>
        </w:rPr>
        <w:t xml:space="preserve"> de esta </w:t>
      </w:r>
      <w:r w:rsidR="008F5E2D" w:rsidRPr="00705872">
        <w:rPr>
          <w:rFonts w:ascii="Times New Roman" w:hAnsi="Times New Roman" w:cs="Times New Roman"/>
          <w:sz w:val="24"/>
        </w:rPr>
        <w:t>población de alto riesgo cardiovascular</w:t>
      </w:r>
      <w:r w:rsidR="00213550" w:rsidRPr="00705872">
        <w:rPr>
          <w:rFonts w:ascii="Times New Roman" w:hAnsi="Times New Roman" w:cs="Times New Roman"/>
          <w:sz w:val="24"/>
        </w:rPr>
        <w:t>,</w:t>
      </w:r>
      <w:r w:rsidR="00D60517" w:rsidRPr="00705872">
        <w:rPr>
          <w:rFonts w:ascii="Times New Roman" w:hAnsi="Times New Roman" w:cs="Times New Roman"/>
          <w:sz w:val="24"/>
        </w:rPr>
        <w:t xml:space="preserve"> </w:t>
      </w:r>
      <w:r w:rsidR="00231D8E" w:rsidRPr="00705872">
        <w:rPr>
          <w:rFonts w:ascii="Times New Roman" w:hAnsi="Times New Roman" w:cs="Times New Roman"/>
          <w:sz w:val="24"/>
        </w:rPr>
        <w:t xml:space="preserve">en </w:t>
      </w:r>
      <w:r w:rsidR="00D60517" w:rsidRPr="00705872">
        <w:rPr>
          <w:rFonts w:ascii="Times New Roman" w:hAnsi="Times New Roman" w:cs="Times New Roman"/>
          <w:sz w:val="24"/>
        </w:rPr>
        <w:t xml:space="preserve">pacientes </w:t>
      </w:r>
      <w:r w:rsidR="002A4FF8" w:rsidRPr="00705872">
        <w:rPr>
          <w:rFonts w:ascii="Times New Roman" w:hAnsi="Times New Roman" w:cs="Times New Roman"/>
          <w:sz w:val="24"/>
        </w:rPr>
        <w:t>con</w:t>
      </w:r>
      <w:r w:rsidR="00D60517" w:rsidRPr="00705872">
        <w:rPr>
          <w:rFonts w:ascii="Times New Roman" w:hAnsi="Times New Roman" w:cs="Times New Roman"/>
          <w:sz w:val="24"/>
        </w:rPr>
        <w:t xml:space="preserve"> fibrilación auricular y síndrome coronario agudo o angioplastia coronaria</w:t>
      </w:r>
      <w:r w:rsidR="00366038" w:rsidRPr="00705872">
        <w:rPr>
          <w:rFonts w:ascii="Times New Roman" w:hAnsi="Times New Roman" w:cs="Times New Roman"/>
          <w:sz w:val="24"/>
        </w:rPr>
        <w:t xml:space="preserve"> recientes</w:t>
      </w:r>
      <w:r w:rsidR="00B05ABC" w:rsidRPr="00705872">
        <w:rPr>
          <w:rFonts w:ascii="Times New Roman" w:hAnsi="Times New Roman" w:cs="Times New Roman"/>
          <w:sz w:val="24"/>
        </w:rPr>
        <w:t xml:space="preserve"> (o ambos)</w:t>
      </w:r>
      <w:r w:rsidR="00D60517" w:rsidRPr="00705872">
        <w:rPr>
          <w:rFonts w:ascii="Times New Roman" w:hAnsi="Times New Roman" w:cs="Times New Roman"/>
          <w:sz w:val="24"/>
        </w:rPr>
        <w:t xml:space="preserve">, </w:t>
      </w:r>
      <w:r w:rsidR="00213550" w:rsidRPr="00705872">
        <w:rPr>
          <w:rFonts w:ascii="Times New Roman" w:hAnsi="Times New Roman" w:cs="Times New Roman"/>
          <w:sz w:val="24"/>
        </w:rPr>
        <w:t xml:space="preserve">se </w:t>
      </w:r>
      <w:r w:rsidR="007722D6" w:rsidRPr="00705872">
        <w:rPr>
          <w:rFonts w:ascii="Times New Roman" w:hAnsi="Times New Roman" w:cs="Times New Roman"/>
          <w:sz w:val="24"/>
        </w:rPr>
        <w:t>diseñó el</w:t>
      </w:r>
      <w:r w:rsidR="00213550" w:rsidRPr="00705872">
        <w:rPr>
          <w:rFonts w:ascii="Times New Roman" w:hAnsi="Times New Roman" w:cs="Times New Roman"/>
          <w:sz w:val="24"/>
        </w:rPr>
        <w:t xml:space="preserve"> estudio AUGUSTUS, pr</w:t>
      </w:r>
      <w:r w:rsidR="00305A0C" w:rsidRPr="00705872">
        <w:rPr>
          <w:rFonts w:ascii="Times New Roman" w:hAnsi="Times New Roman" w:cs="Times New Roman"/>
          <w:sz w:val="24"/>
        </w:rPr>
        <w:t>esentado en el American Congress Cardiology 20</w:t>
      </w:r>
      <w:r w:rsidR="00D60517" w:rsidRPr="00705872">
        <w:rPr>
          <w:rFonts w:ascii="Times New Roman" w:hAnsi="Times New Roman" w:cs="Times New Roman"/>
          <w:sz w:val="24"/>
        </w:rPr>
        <w:t xml:space="preserve">19. Este estudio es un </w:t>
      </w:r>
      <w:r w:rsidR="00213550" w:rsidRPr="00705872">
        <w:rPr>
          <w:rFonts w:ascii="Times New Roman" w:hAnsi="Times New Roman" w:cs="Times New Roman"/>
          <w:sz w:val="24"/>
        </w:rPr>
        <w:t xml:space="preserve">ensayo clínico </w:t>
      </w:r>
      <w:r w:rsidR="0042733A" w:rsidRPr="00705872">
        <w:rPr>
          <w:rFonts w:ascii="Times New Roman" w:hAnsi="Times New Roman" w:cs="Times New Roman"/>
          <w:sz w:val="24"/>
        </w:rPr>
        <w:t>multicéntrico, randomizad</w:t>
      </w:r>
      <w:r w:rsidR="00A74104" w:rsidRPr="00705872">
        <w:rPr>
          <w:rFonts w:ascii="Times New Roman" w:hAnsi="Times New Roman" w:cs="Times New Roman"/>
          <w:sz w:val="24"/>
        </w:rPr>
        <w:t xml:space="preserve">o, </w:t>
      </w:r>
      <w:r w:rsidR="00272DD7" w:rsidRPr="00705872">
        <w:rPr>
          <w:rFonts w:ascii="Times New Roman" w:hAnsi="Times New Roman" w:cs="Times New Roman"/>
          <w:sz w:val="24"/>
        </w:rPr>
        <w:t xml:space="preserve">que presentaba un diseño factorial dos por dos, </w:t>
      </w:r>
      <w:r w:rsidR="007606AD" w:rsidRPr="00705872">
        <w:rPr>
          <w:rFonts w:ascii="Times New Roman" w:hAnsi="Times New Roman" w:cs="Times New Roman"/>
          <w:sz w:val="24"/>
        </w:rPr>
        <w:t xml:space="preserve">donde luego del enrolamiento </w:t>
      </w:r>
      <w:r w:rsidR="00272DD7" w:rsidRPr="00705872">
        <w:rPr>
          <w:rFonts w:ascii="Times New Roman" w:hAnsi="Times New Roman" w:cs="Times New Roman"/>
          <w:sz w:val="24"/>
        </w:rPr>
        <w:t xml:space="preserve">los pacientes eran </w:t>
      </w:r>
      <w:r w:rsidR="00621E45" w:rsidRPr="00705872">
        <w:rPr>
          <w:rFonts w:ascii="Times New Roman" w:hAnsi="Times New Roman" w:cs="Times New Roman"/>
          <w:sz w:val="24"/>
        </w:rPr>
        <w:t xml:space="preserve">en un primer término </w:t>
      </w:r>
      <w:r w:rsidR="00272DD7" w:rsidRPr="00705872">
        <w:rPr>
          <w:rFonts w:ascii="Times New Roman" w:hAnsi="Times New Roman" w:cs="Times New Roman"/>
          <w:sz w:val="24"/>
        </w:rPr>
        <w:t xml:space="preserve">asignados a recibir apixabán o antagonista de la vitamina K, y </w:t>
      </w:r>
      <w:r w:rsidR="00621E45" w:rsidRPr="00705872">
        <w:rPr>
          <w:rFonts w:ascii="Times New Roman" w:hAnsi="Times New Roman" w:cs="Times New Roman"/>
          <w:sz w:val="24"/>
        </w:rPr>
        <w:t>luego</w:t>
      </w:r>
      <w:r w:rsidR="00272DD7" w:rsidRPr="00705872">
        <w:rPr>
          <w:rFonts w:ascii="Times New Roman" w:hAnsi="Times New Roman" w:cs="Times New Roman"/>
          <w:sz w:val="24"/>
        </w:rPr>
        <w:t xml:space="preserve"> aspirina o placebo. </w:t>
      </w:r>
      <w:r w:rsidR="008F79E6" w:rsidRPr="00705872">
        <w:rPr>
          <w:rFonts w:ascii="Times New Roman" w:hAnsi="Times New Roman" w:cs="Times New Roman"/>
          <w:sz w:val="24"/>
        </w:rPr>
        <w:t>La primera</w:t>
      </w:r>
      <w:r w:rsidR="00F664B3" w:rsidRPr="00705872">
        <w:rPr>
          <w:rFonts w:ascii="Times New Roman" w:hAnsi="Times New Roman" w:cs="Times New Roman"/>
          <w:sz w:val="24"/>
        </w:rPr>
        <w:t xml:space="preserve"> hipótesis </w:t>
      </w:r>
      <w:r w:rsidR="008F79E6" w:rsidRPr="00705872">
        <w:rPr>
          <w:rFonts w:ascii="Times New Roman" w:hAnsi="Times New Roman" w:cs="Times New Roman"/>
          <w:sz w:val="24"/>
        </w:rPr>
        <w:t>era</w:t>
      </w:r>
      <w:r w:rsidR="00F664B3" w:rsidRPr="00705872">
        <w:rPr>
          <w:rFonts w:ascii="Times New Roman" w:hAnsi="Times New Roman" w:cs="Times New Roman"/>
          <w:sz w:val="24"/>
        </w:rPr>
        <w:t xml:space="preserve"> que </w:t>
      </w:r>
      <w:r w:rsidR="00A1639B" w:rsidRPr="00705872">
        <w:rPr>
          <w:rFonts w:ascii="Times New Roman" w:hAnsi="Times New Roman" w:cs="Times New Roman"/>
          <w:sz w:val="24"/>
        </w:rPr>
        <w:t>apixabán</w:t>
      </w:r>
      <w:r w:rsidR="00F664B3" w:rsidRPr="00705872">
        <w:rPr>
          <w:rFonts w:ascii="Times New Roman" w:hAnsi="Times New Roman" w:cs="Times New Roman"/>
          <w:sz w:val="24"/>
        </w:rPr>
        <w:t xml:space="preserve"> sería al menos no inferior, y posiblemente superior a un antagonista de la vitamina K en la tasa de sangrados mayores o clínicamente relevantes no mayores (según la International Society on</w:t>
      </w:r>
      <w:r w:rsidR="00D85593" w:rsidRPr="00705872">
        <w:rPr>
          <w:rFonts w:ascii="Times New Roman" w:hAnsi="Times New Roman" w:cs="Times New Roman"/>
          <w:sz w:val="24"/>
        </w:rPr>
        <w:t xml:space="preserve"> Thrombosis and Haemostasis) en pacientes que debían recibir trat</w:t>
      </w:r>
      <w:r w:rsidR="00683FC6" w:rsidRPr="00705872">
        <w:rPr>
          <w:rFonts w:ascii="Times New Roman" w:hAnsi="Times New Roman" w:cs="Times New Roman"/>
          <w:sz w:val="24"/>
        </w:rPr>
        <w:t>amiento con un inhibidor</w:t>
      </w:r>
      <w:r w:rsidR="00D85593" w:rsidRPr="00705872">
        <w:rPr>
          <w:rFonts w:ascii="Times New Roman" w:hAnsi="Times New Roman" w:cs="Times New Roman"/>
          <w:sz w:val="24"/>
        </w:rPr>
        <w:t xml:space="preserve"> </w:t>
      </w:r>
      <w:r w:rsidR="008F79E6" w:rsidRPr="00705872">
        <w:rPr>
          <w:rFonts w:ascii="Times New Roman" w:hAnsi="Times New Roman" w:cs="Times New Roman"/>
          <w:sz w:val="24"/>
          <w:shd w:val="clear" w:color="auto" w:fill="FFFFFF"/>
        </w:rPr>
        <w:t>P2Y</w:t>
      </w:r>
      <w:r w:rsidR="008F79E6" w:rsidRPr="00705872"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  <w:vertAlign w:val="subscript"/>
        </w:rPr>
        <w:t>12</w:t>
      </w:r>
      <w:r w:rsidR="00D85593" w:rsidRPr="00705872">
        <w:rPr>
          <w:rFonts w:ascii="Times New Roman" w:hAnsi="Times New Roman" w:cs="Times New Roman"/>
          <w:sz w:val="24"/>
        </w:rPr>
        <w:t xml:space="preserve"> (terapia de base). Y</w:t>
      </w:r>
      <w:r w:rsidR="00BB23D3" w:rsidRPr="00705872">
        <w:rPr>
          <w:rFonts w:ascii="Times New Roman" w:hAnsi="Times New Roman" w:cs="Times New Roman"/>
          <w:sz w:val="24"/>
        </w:rPr>
        <w:t xml:space="preserve"> una</w:t>
      </w:r>
      <w:r w:rsidR="00F664B3" w:rsidRPr="00705872">
        <w:rPr>
          <w:rFonts w:ascii="Times New Roman" w:hAnsi="Times New Roman" w:cs="Times New Roman"/>
          <w:sz w:val="24"/>
        </w:rPr>
        <w:t xml:space="preserve"> segunda hipótesis planteada era que la terapia antiplaquetaria </w:t>
      </w:r>
      <w:r w:rsidR="00921291" w:rsidRPr="00705872">
        <w:rPr>
          <w:rFonts w:ascii="Times New Roman" w:hAnsi="Times New Roman" w:cs="Times New Roman"/>
          <w:sz w:val="24"/>
        </w:rPr>
        <w:t xml:space="preserve">única </w:t>
      </w:r>
      <w:r w:rsidR="00F664B3" w:rsidRPr="00705872">
        <w:rPr>
          <w:rFonts w:ascii="Times New Roman" w:hAnsi="Times New Roman" w:cs="Times New Roman"/>
          <w:sz w:val="24"/>
        </w:rPr>
        <w:t xml:space="preserve">con un inhibidor </w:t>
      </w:r>
      <w:bookmarkStart w:id="0" w:name="_Hlk44105529"/>
      <w:r w:rsidR="008F79E6" w:rsidRPr="00705872">
        <w:rPr>
          <w:rFonts w:ascii="Times New Roman" w:hAnsi="Times New Roman" w:cs="Times New Roman"/>
          <w:sz w:val="24"/>
          <w:shd w:val="clear" w:color="auto" w:fill="FFFFFF"/>
        </w:rPr>
        <w:t>P2Y</w:t>
      </w:r>
      <w:r w:rsidR="008F79E6" w:rsidRPr="00705872"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  <w:vertAlign w:val="subscript"/>
        </w:rPr>
        <w:t>12</w:t>
      </w:r>
      <w:bookmarkEnd w:id="0"/>
      <w:r w:rsidR="00F664B3" w:rsidRPr="00705872">
        <w:rPr>
          <w:rFonts w:ascii="Times New Roman" w:hAnsi="Times New Roman" w:cs="Times New Roman"/>
          <w:sz w:val="24"/>
        </w:rPr>
        <w:t xml:space="preserve"> sería superior al tratamiento combinado de aspirina </w:t>
      </w:r>
      <w:r w:rsidR="007606AD" w:rsidRPr="00705872">
        <w:rPr>
          <w:rFonts w:ascii="Times New Roman" w:hAnsi="Times New Roman" w:cs="Times New Roman"/>
          <w:sz w:val="24"/>
        </w:rPr>
        <w:t xml:space="preserve">con </w:t>
      </w:r>
      <w:r w:rsidR="00F664B3" w:rsidRPr="00705872">
        <w:rPr>
          <w:rFonts w:ascii="Times New Roman" w:hAnsi="Times New Roman" w:cs="Times New Roman"/>
          <w:sz w:val="24"/>
        </w:rPr>
        <w:t xml:space="preserve">un inhibidor </w:t>
      </w:r>
      <w:r w:rsidR="008F79E6" w:rsidRPr="00705872">
        <w:rPr>
          <w:rFonts w:ascii="Times New Roman" w:hAnsi="Times New Roman" w:cs="Times New Roman"/>
          <w:sz w:val="24"/>
          <w:shd w:val="clear" w:color="auto" w:fill="FFFFFF"/>
        </w:rPr>
        <w:t>P2Y</w:t>
      </w:r>
      <w:r w:rsidR="008F79E6" w:rsidRPr="00705872"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  <w:vertAlign w:val="subscript"/>
        </w:rPr>
        <w:t>12</w:t>
      </w:r>
      <w:r w:rsidR="00F664B3" w:rsidRPr="00705872">
        <w:rPr>
          <w:rFonts w:ascii="Times New Roman" w:hAnsi="Times New Roman" w:cs="Times New Roman"/>
          <w:sz w:val="24"/>
        </w:rPr>
        <w:t xml:space="preserve"> </w:t>
      </w:r>
      <w:r w:rsidR="00FA3415" w:rsidRPr="00705872">
        <w:rPr>
          <w:rFonts w:ascii="Times New Roman" w:hAnsi="Times New Roman" w:cs="Times New Roman"/>
          <w:sz w:val="24"/>
        </w:rPr>
        <w:t xml:space="preserve">en el desarrollo de hemorragias. </w:t>
      </w:r>
      <w:r w:rsidR="001C20C4" w:rsidRPr="00705872">
        <w:rPr>
          <w:rFonts w:ascii="Times New Roman" w:hAnsi="Times New Roman" w:cs="Times New Roman"/>
          <w:sz w:val="24"/>
        </w:rPr>
        <w:t xml:space="preserve"> Los puntos finales primarios incluyeron </w:t>
      </w:r>
      <w:r w:rsidR="008C1FCB" w:rsidRPr="00705872">
        <w:rPr>
          <w:rFonts w:ascii="Times New Roman" w:hAnsi="Times New Roman" w:cs="Times New Roman"/>
          <w:sz w:val="24"/>
        </w:rPr>
        <w:t xml:space="preserve">sangrado mayor o clínicamente relevante y el punto final secundario incluyó </w:t>
      </w:r>
      <w:r w:rsidR="001C20C4" w:rsidRPr="00705872">
        <w:rPr>
          <w:rFonts w:ascii="Times New Roman" w:hAnsi="Times New Roman" w:cs="Times New Roman"/>
          <w:sz w:val="24"/>
        </w:rPr>
        <w:t xml:space="preserve">muerte u hospitalización </w:t>
      </w:r>
      <w:r w:rsidR="008C1FCB" w:rsidRPr="00705872">
        <w:rPr>
          <w:rFonts w:ascii="Times New Roman" w:hAnsi="Times New Roman" w:cs="Times New Roman"/>
          <w:sz w:val="24"/>
        </w:rPr>
        <w:t>y una combinación de eventos isquémicos</w:t>
      </w:r>
      <w:r w:rsidR="00C06121" w:rsidRPr="00705872">
        <w:rPr>
          <w:rFonts w:ascii="Times New Roman" w:hAnsi="Times New Roman" w:cs="Times New Roman"/>
          <w:sz w:val="24"/>
        </w:rPr>
        <w:t xml:space="preserve">, con seguimiento a 6 meses. </w:t>
      </w:r>
    </w:p>
    <w:p w14:paraId="7C84EB9F" w14:textId="107A135C" w:rsidR="00B1659E" w:rsidRPr="00705872" w:rsidRDefault="00C06121" w:rsidP="00BA5B33">
      <w:pPr>
        <w:pStyle w:val="Sinespaciado"/>
        <w:jc w:val="both"/>
        <w:rPr>
          <w:rFonts w:ascii="Times New Roman" w:hAnsi="Times New Roman" w:cs="Times New Roman"/>
          <w:sz w:val="24"/>
        </w:rPr>
      </w:pPr>
      <w:r w:rsidRPr="00705872">
        <w:rPr>
          <w:rFonts w:ascii="Times New Roman" w:hAnsi="Times New Roman" w:cs="Times New Roman"/>
          <w:sz w:val="24"/>
        </w:rPr>
        <w:t xml:space="preserve">     Se incluyeron 4614 pacientes y las características de los pacientes se hallaban balanceadas entre los diferentes grupos del estudio. </w:t>
      </w:r>
      <w:r w:rsidR="00B1659E" w:rsidRPr="00705872">
        <w:rPr>
          <w:rFonts w:ascii="Times New Roman" w:hAnsi="Times New Roman" w:cs="Times New Roman"/>
          <w:sz w:val="24"/>
        </w:rPr>
        <w:t>C</w:t>
      </w:r>
      <w:r w:rsidRPr="00705872">
        <w:rPr>
          <w:rFonts w:ascii="Times New Roman" w:hAnsi="Times New Roman" w:cs="Times New Roman"/>
          <w:sz w:val="24"/>
        </w:rPr>
        <w:t xml:space="preserve">omo datos adicionales </w:t>
      </w:r>
      <w:r w:rsidR="00B1659E" w:rsidRPr="00705872">
        <w:rPr>
          <w:rFonts w:ascii="Times New Roman" w:hAnsi="Times New Roman" w:cs="Times New Roman"/>
          <w:sz w:val="24"/>
        </w:rPr>
        <w:t xml:space="preserve">la edad media fue de 71 años, </w:t>
      </w:r>
      <w:r w:rsidRPr="00705872">
        <w:rPr>
          <w:rFonts w:ascii="Times New Roman" w:hAnsi="Times New Roman" w:cs="Times New Roman"/>
          <w:sz w:val="24"/>
        </w:rPr>
        <w:t xml:space="preserve">el clopidogrel fue el inhibidor </w:t>
      </w:r>
      <w:r w:rsidRPr="00705872">
        <w:rPr>
          <w:rFonts w:ascii="Times New Roman" w:hAnsi="Times New Roman" w:cs="Times New Roman"/>
          <w:sz w:val="24"/>
          <w:shd w:val="clear" w:color="auto" w:fill="FFFFFF"/>
        </w:rPr>
        <w:t>P2Y</w:t>
      </w:r>
      <w:r w:rsidRPr="00705872"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  <w:vertAlign w:val="subscript"/>
        </w:rPr>
        <w:t xml:space="preserve">12 </w:t>
      </w:r>
      <w:r w:rsidRPr="00705872">
        <w:rPr>
          <w:rFonts w:ascii="Times New Roman" w:hAnsi="Times New Roman" w:cs="Times New Roman"/>
          <w:sz w:val="24"/>
        </w:rPr>
        <w:t>utilizado en el 92.6</w:t>
      </w:r>
      <w:r w:rsidR="009A26BB" w:rsidRPr="00705872">
        <w:rPr>
          <w:rFonts w:ascii="Times New Roman" w:hAnsi="Times New Roman" w:cs="Times New Roman"/>
          <w:sz w:val="24"/>
        </w:rPr>
        <w:t xml:space="preserve">% </w:t>
      </w:r>
      <w:r w:rsidRPr="00705872">
        <w:rPr>
          <w:rFonts w:ascii="Times New Roman" w:hAnsi="Times New Roman" w:cs="Times New Roman"/>
          <w:sz w:val="24"/>
        </w:rPr>
        <w:t>de los pacientes</w:t>
      </w:r>
      <w:r w:rsidR="00B1659E" w:rsidRPr="00705872">
        <w:rPr>
          <w:rFonts w:ascii="Times New Roman" w:hAnsi="Times New Roman" w:cs="Times New Roman"/>
          <w:sz w:val="24"/>
        </w:rPr>
        <w:t>, y los pacientes presentaban alto riesgo tanto de eventos isquémicos como hemorrágicos</w:t>
      </w:r>
      <w:r w:rsidR="0054472F" w:rsidRPr="00705872">
        <w:rPr>
          <w:rFonts w:ascii="Times New Roman" w:hAnsi="Times New Roman" w:cs="Times New Roman"/>
          <w:sz w:val="24"/>
        </w:rPr>
        <w:t>,</w:t>
      </w:r>
      <w:r w:rsidR="00B1659E" w:rsidRPr="00705872">
        <w:rPr>
          <w:rFonts w:ascii="Times New Roman" w:hAnsi="Times New Roman" w:cs="Times New Roman"/>
          <w:sz w:val="24"/>
        </w:rPr>
        <w:t xml:space="preserve"> </w:t>
      </w:r>
      <w:r w:rsidR="0054472F" w:rsidRPr="00705872">
        <w:rPr>
          <w:rFonts w:ascii="Times New Roman" w:hAnsi="Times New Roman" w:cs="Times New Roman"/>
          <w:sz w:val="24"/>
        </w:rPr>
        <w:t xml:space="preserve">mediana del score </w:t>
      </w:r>
      <w:r w:rsidR="00B1659E" w:rsidRPr="00705872">
        <w:rPr>
          <w:rFonts w:ascii="Times New Roman" w:hAnsi="Times New Roman" w:cs="Times New Roman"/>
          <w:sz w:val="24"/>
        </w:rPr>
        <w:t>HAS-</w:t>
      </w:r>
      <w:r w:rsidR="0054472F" w:rsidRPr="00705872">
        <w:rPr>
          <w:rFonts w:ascii="Times New Roman" w:hAnsi="Times New Roman" w:cs="Times New Roman"/>
          <w:sz w:val="24"/>
        </w:rPr>
        <w:t>BLED de</w:t>
      </w:r>
      <w:r w:rsidR="00B1659E" w:rsidRPr="00705872">
        <w:rPr>
          <w:rFonts w:ascii="Times New Roman" w:hAnsi="Times New Roman" w:cs="Times New Roman"/>
          <w:sz w:val="24"/>
        </w:rPr>
        <w:t xml:space="preserve"> 3 </w:t>
      </w:r>
      <w:r w:rsidR="0054472F" w:rsidRPr="00705872">
        <w:rPr>
          <w:rFonts w:ascii="Times New Roman" w:hAnsi="Times New Roman" w:cs="Times New Roman"/>
          <w:sz w:val="24"/>
        </w:rPr>
        <w:t>y mediana del score</w:t>
      </w:r>
      <w:r w:rsidR="00B1659E" w:rsidRPr="00705872">
        <w:rPr>
          <w:rFonts w:ascii="Times New Roman" w:hAnsi="Times New Roman" w:cs="Times New Roman"/>
          <w:sz w:val="24"/>
        </w:rPr>
        <w:t xml:space="preserve"> CHA2DS2-VASc </w:t>
      </w:r>
      <w:r w:rsidR="0054472F" w:rsidRPr="00705872">
        <w:rPr>
          <w:rFonts w:ascii="Times New Roman" w:hAnsi="Times New Roman" w:cs="Times New Roman"/>
          <w:sz w:val="24"/>
        </w:rPr>
        <w:t>de</w:t>
      </w:r>
      <w:r w:rsidR="00B1659E" w:rsidRPr="00705872">
        <w:rPr>
          <w:rFonts w:ascii="Times New Roman" w:hAnsi="Times New Roman" w:cs="Times New Roman"/>
          <w:sz w:val="24"/>
        </w:rPr>
        <w:t xml:space="preserve"> 4</w:t>
      </w:r>
      <w:r w:rsidRPr="00705872">
        <w:rPr>
          <w:rFonts w:ascii="Times New Roman" w:hAnsi="Times New Roman" w:cs="Times New Roman"/>
          <w:sz w:val="24"/>
        </w:rPr>
        <w:t>.</w:t>
      </w:r>
      <w:r w:rsidR="00915EAB" w:rsidRPr="00705872">
        <w:rPr>
          <w:rFonts w:ascii="Times New Roman" w:hAnsi="Times New Roman" w:cs="Times New Roman"/>
          <w:sz w:val="24"/>
        </w:rPr>
        <w:t xml:space="preserve"> </w:t>
      </w:r>
      <w:r w:rsidR="00B1659E" w:rsidRPr="00705872">
        <w:rPr>
          <w:rFonts w:ascii="Times New Roman" w:hAnsi="Times New Roman" w:cs="Times New Roman"/>
          <w:sz w:val="24"/>
        </w:rPr>
        <w:t xml:space="preserve">El evento calificante fue síndrome coronario agudo (SCA) tratado con ATC en el 37% de los pacientes, </w:t>
      </w:r>
      <w:r w:rsidR="0054472F" w:rsidRPr="00705872">
        <w:rPr>
          <w:rFonts w:ascii="Times New Roman" w:hAnsi="Times New Roman" w:cs="Times New Roman"/>
          <w:sz w:val="24"/>
        </w:rPr>
        <w:t>SCA tratado</w:t>
      </w:r>
      <w:r w:rsidR="00B1659E" w:rsidRPr="00705872">
        <w:rPr>
          <w:rFonts w:ascii="Times New Roman" w:hAnsi="Times New Roman" w:cs="Times New Roman"/>
          <w:sz w:val="24"/>
        </w:rPr>
        <w:t xml:space="preserve"> médicamente en el 24% y ATC electiva en el 39%. </w:t>
      </w:r>
    </w:p>
    <w:p w14:paraId="5F4D20E2" w14:textId="7FF93D1D" w:rsidR="00F033FB" w:rsidRPr="00705872" w:rsidRDefault="00250246" w:rsidP="00BA5B33">
      <w:pPr>
        <w:pStyle w:val="Sinespaciado"/>
        <w:jc w:val="both"/>
        <w:rPr>
          <w:rFonts w:ascii="Times New Roman" w:hAnsi="Times New Roman" w:cs="Times New Roman"/>
          <w:sz w:val="24"/>
        </w:rPr>
      </w:pPr>
      <w:r w:rsidRPr="00705872">
        <w:rPr>
          <w:rFonts w:ascii="Times New Roman" w:hAnsi="Times New Roman" w:cs="Times New Roman"/>
          <w:sz w:val="24"/>
        </w:rPr>
        <w:t xml:space="preserve">     </w:t>
      </w:r>
      <w:r w:rsidR="00E20A82" w:rsidRPr="00705872">
        <w:rPr>
          <w:rFonts w:ascii="Times New Roman" w:hAnsi="Times New Roman" w:cs="Times New Roman"/>
          <w:sz w:val="24"/>
        </w:rPr>
        <w:t>Dentro de los resultados s</w:t>
      </w:r>
      <w:r w:rsidR="00915EAB" w:rsidRPr="00705872">
        <w:rPr>
          <w:rFonts w:ascii="Times New Roman" w:hAnsi="Times New Roman" w:cs="Times New Roman"/>
          <w:sz w:val="24"/>
        </w:rPr>
        <w:t xml:space="preserve">e observó un </w:t>
      </w:r>
      <w:r w:rsidR="008C1FCB" w:rsidRPr="00705872">
        <w:rPr>
          <w:rFonts w:ascii="Times New Roman" w:hAnsi="Times New Roman" w:cs="Times New Roman"/>
          <w:sz w:val="24"/>
        </w:rPr>
        <w:t xml:space="preserve">10,5 % de sangrado mayor o clínicamente relevante en los pacientes que recibieron apixabán, y 14,7% en los pacientes que recibieron antagonistas de la vitamina K (HR 0,69; intervalo de confianza </w:t>
      </w:r>
      <w:r w:rsidR="00366038" w:rsidRPr="00705872">
        <w:rPr>
          <w:rFonts w:ascii="Times New Roman" w:hAnsi="Times New Roman" w:cs="Times New Roman"/>
          <w:sz w:val="24"/>
        </w:rPr>
        <w:t xml:space="preserve">del 95%, 0,58 a 0,81; P&lt;0,001); y en el 16,1% de los pacientes que recibieron aspirina, comparado con 9,0% de </w:t>
      </w:r>
      <w:r w:rsidR="00366038" w:rsidRPr="00705872">
        <w:rPr>
          <w:rFonts w:ascii="Times New Roman" w:hAnsi="Times New Roman" w:cs="Times New Roman"/>
          <w:sz w:val="24"/>
        </w:rPr>
        <w:lastRenderedPageBreak/>
        <w:t>los que recibieron placebo (HR 1,89, IC 95%: 1,59 a 2,24; P&lt;0,001</w:t>
      </w:r>
      <w:r w:rsidR="00A1639B" w:rsidRPr="00705872">
        <w:rPr>
          <w:rFonts w:ascii="Times New Roman" w:hAnsi="Times New Roman" w:cs="Times New Roman"/>
          <w:sz w:val="24"/>
        </w:rPr>
        <w:t xml:space="preserve">). Los pacientes que recibieron apixabán presentaron menor incidencia de muerte u hospitalización que los que recibieron antagonistas de la vitamina </w:t>
      </w:r>
      <w:r w:rsidR="003140EF" w:rsidRPr="00705872">
        <w:rPr>
          <w:rFonts w:ascii="Times New Roman" w:hAnsi="Times New Roman" w:cs="Times New Roman"/>
          <w:sz w:val="24"/>
        </w:rPr>
        <w:t xml:space="preserve">K (23,5% vs. 27,4%; HR 0,83; IC del 95%, 0,74 a 0,93; P= 0,002) y una incidencia similar de eventos isquémicos. Mientras que </w:t>
      </w:r>
      <w:r w:rsidR="00444E3F" w:rsidRPr="00705872">
        <w:rPr>
          <w:rFonts w:ascii="Times New Roman" w:hAnsi="Times New Roman" w:cs="Times New Roman"/>
          <w:sz w:val="24"/>
        </w:rPr>
        <w:t xml:space="preserve">el grupo de </w:t>
      </w:r>
      <w:r w:rsidR="003140EF" w:rsidRPr="00705872">
        <w:rPr>
          <w:rFonts w:ascii="Times New Roman" w:hAnsi="Times New Roman" w:cs="Times New Roman"/>
          <w:sz w:val="24"/>
        </w:rPr>
        <w:t xml:space="preserve">pacientes </w:t>
      </w:r>
      <w:r w:rsidR="00444E3F" w:rsidRPr="00705872">
        <w:rPr>
          <w:rFonts w:ascii="Times New Roman" w:hAnsi="Times New Roman" w:cs="Times New Roman"/>
          <w:sz w:val="24"/>
        </w:rPr>
        <w:t>que recibió</w:t>
      </w:r>
      <w:r w:rsidR="003140EF" w:rsidRPr="00705872">
        <w:rPr>
          <w:rFonts w:ascii="Times New Roman" w:hAnsi="Times New Roman" w:cs="Times New Roman"/>
          <w:sz w:val="24"/>
        </w:rPr>
        <w:t xml:space="preserve"> aspirina tuv</w:t>
      </w:r>
      <w:r w:rsidR="00444E3F" w:rsidRPr="00705872">
        <w:rPr>
          <w:rFonts w:ascii="Times New Roman" w:hAnsi="Times New Roman" w:cs="Times New Roman"/>
          <w:sz w:val="24"/>
        </w:rPr>
        <w:t>o</w:t>
      </w:r>
      <w:r w:rsidR="003140EF" w:rsidRPr="00705872">
        <w:rPr>
          <w:rFonts w:ascii="Times New Roman" w:hAnsi="Times New Roman" w:cs="Times New Roman"/>
          <w:sz w:val="24"/>
        </w:rPr>
        <w:t xml:space="preserve"> una incidencia de muerte u hospitalización y de eventos isquémicos similar a la del grupo placebo.</w:t>
      </w:r>
    </w:p>
    <w:p w14:paraId="4DD078D0" w14:textId="77777777" w:rsidR="001A0C73" w:rsidRPr="00705872" w:rsidRDefault="001A0C73" w:rsidP="00BA5B33">
      <w:pPr>
        <w:pStyle w:val="Sinespaciado"/>
        <w:jc w:val="both"/>
        <w:rPr>
          <w:rFonts w:ascii="Times New Roman" w:hAnsi="Times New Roman" w:cs="Times New Roman"/>
          <w:sz w:val="24"/>
        </w:rPr>
      </w:pPr>
    </w:p>
    <w:p w14:paraId="0AAE5AA6" w14:textId="77777777" w:rsidR="001A0C73" w:rsidRPr="00705872" w:rsidRDefault="001A0C73" w:rsidP="00BA5B33">
      <w:pPr>
        <w:pStyle w:val="Sinespaciado"/>
        <w:jc w:val="both"/>
        <w:rPr>
          <w:rFonts w:ascii="Times New Roman" w:hAnsi="Times New Roman" w:cs="Times New Roman"/>
          <w:sz w:val="24"/>
        </w:rPr>
      </w:pPr>
    </w:p>
    <w:p w14:paraId="2CF36E92" w14:textId="51B793CF" w:rsidR="008C0970" w:rsidRPr="00705872" w:rsidRDefault="008C0970" w:rsidP="00BA5B33">
      <w:pPr>
        <w:pStyle w:val="Sinespaciado"/>
        <w:jc w:val="both"/>
        <w:rPr>
          <w:rFonts w:ascii="Times New Roman" w:hAnsi="Times New Roman" w:cs="Times New Roman"/>
          <w:sz w:val="24"/>
        </w:rPr>
      </w:pPr>
      <w:r w:rsidRPr="00705872">
        <w:rPr>
          <w:rFonts w:ascii="Times New Roman" w:hAnsi="Times New Roman" w:cs="Times New Roman"/>
          <w:noProof/>
          <w:sz w:val="24"/>
        </w:rPr>
        <w:drawing>
          <wp:inline distT="0" distB="0" distL="0" distR="0" wp14:anchorId="0CB68A28" wp14:editId="51DED2BC">
            <wp:extent cx="5341584" cy="2143116"/>
            <wp:effectExtent l="114300" t="76200" r="106716" b="85734"/>
            <wp:docPr id="3" name="Imagen 2" descr="C:\Users\ncocco\Desktop\nejmoa1817083_f2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ncocco\Desktop\nejmoa1817083_f2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687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1584" cy="214311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11E5A32B" w14:textId="77777777" w:rsidR="00EC11F8" w:rsidRPr="00705872" w:rsidRDefault="00B11C0F" w:rsidP="00BA5B33">
      <w:pPr>
        <w:pStyle w:val="Sinespaciado"/>
        <w:jc w:val="both"/>
        <w:rPr>
          <w:rFonts w:ascii="Times New Roman" w:hAnsi="Times New Roman" w:cs="Times New Roman"/>
          <w:sz w:val="24"/>
        </w:rPr>
      </w:pPr>
      <w:r w:rsidRPr="00705872">
        <w:rPr>
          <w:rFonts w:ascii="Times New Roman" w:hAnsi="Times New Roman" w:cs="Times New Roman"/>
          <w:noProof/>
          <w:sz w:val="24"/>
        </w:rPr>
        <w:drawing>
          <wp:inline distT="0" distB="0" distL="0" distR="0" wp14:anchorId="6C474498" wp14:editId="051F744F">
            <wp:extent cx="5341584" cy="2214578"/>
            <wp:effectExtent l="95250" t="76200" r="106716" b="71422"/>
            <wp:docPr id="6" name="Imagen 3" descr="C:\Users\ncocco\Desktop\nejmoa1817083_f2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ncocco\Desktop\nejmoa1817083_f2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31250" b="364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1584" cy="221457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31B17114" w14:textId="77777777" w:rsidR="00EC11F8" w:rsidRPr="00705872" w:rsidRDefault="00EC11F8" w:rsidP="00BA5B33">
      <w:pPr>
        <w:pStyle w:val="Sinespaciado"/>
        <w:jc w:val="both"/>
        <w:rPr>
          <w:rFonts w:ascii="Times New Roman" w:hAnsi="Times New Roman" w:cs="Times New Roman"/>
          <w:sz w:val="24"/>
        </w:rPr>
      </w:pPr>
      <w:r w:rsidRPr="00705872">
        <w:rPr>
          <w:rFonts w:ascii="Times New Roman" w:hAnsi="Times New Roman" w:cs="Times New Roman"/>
          <w:noProof/>
          <w:sz w:val="24"/>
        </w:rPr>
        <w:lastRenderedPageBreak/>
        <w:drawing>
          <wp:inline distT="0" distB="0" distL="0" distR="0" wp14:anchorId="22BD9C32" wp14:editId="5F1DE50E">
            <wp:extent cx="5341620" cy="2520316"/>
            <wp:effectExtent l="95250" t="76200" r="106680" b="70484"/>
            <wp:docPr id="5" name="Imagen 2" descr="C:\Users\ncocco\Desktop\nejmoa1817083_f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cocco\Desktop\nejmoa1817083_f2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632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1620" cy="252031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512DAB76" w14:textId="77777777" w:rsidR="006160CE" w:rsidRPr="00705872" w:rsidRDefault="006160CE" w:rsidP="00BA5B33">
      <w:pPr>
        <w:pStyle w:val="Sinespaciado"/>
        <w:jc w:val="both"/>
        <w:rPr>
          <w:rFonts w:ascii="Times New Roman" w:hAnsi="Times New Roman" w:cs="Times New Roman"/>
          <w:sz w:val="24"/>
        </w:rPr>
      </w:pPr>
      <w:r w:rsidRPr="00705872">
        <w:rPr>
          <w:rFonts w:ascii="Times New Roman" w:hAnsi="Times New Roman" w:cs="Times New Roman"/>
          <w:sz w:val="24"/>
        </w:rPr>
        <w:t xml:space="preserve">     </w:t>
      </w:r>
    </w:p>
    <w:p w14:paraId="35835C5D" w14:textId="77777777" w:rsidR="00175CD0" w:rsidRPr="00705872" w:rsidRDefault="006160CE" w:rsidP="00BA5B33">
      <w:pPr>
        <w:pStyle w:val="Sinespaciado"/>
        <w:jc w:val="both"/>
        <w:rPr>
          <w:rFonts w:ascii="Times New Roman" w:hAnsi="Times New Roman" w:cs="Times New Roman"/>
          <w:b/>
          <w:bCs/>
          <w:sz w:val="24"/>
        </w:rPr>
      </w:pPr>
      <w:r w:rsidRPr="00705872">
        <w:rPr>
          <w:rFonts w:ascii="Times New Roman" w:hAnsi="Times New Roman" w:cs="Times New Roman"/>
          <w:b/>
          <w:bCs/>
          <w:sz w:val="24"/>
        </w:rPr>
        <w:t xml:space="preserve">     </w:t>
      </w:r>
    </w:p>
    <w:p w14:paraId="10D64C06" w14:textId="77777777" w:rsidR="00175CD0" w:rsidRPr="00705872" w:rsidRDefault="00175CD0" w:rsidP="00BA5B33">
      <w:pPr>
        <w:pStyle w:val="Sinespaciado"/>
        <w:jc w:val="both"/>
        <w:rPr>
          <w:rFonts w:ascii="Times New Roman" w:hAnsi="Times New Roman" w:cs="Times New Roman"/>
          <w:b/>
          <w:bCs/>
          <w:sz w:val="24"/>
        </w:rPr>
      </w:pPr>
    </w:p>
    <w:p w14:paraId="23566E1C" w14:textId="1BC2E837" w:rsidR="00326F3C" w:rsidRPr="00705872" w:rsidRDefault="00175CD0" w:rsidP="00BA5B33">
      <w:pPr>
        <w:pStyle w:val="Sinespaciado"/>
        <w:jc w:val="both"/>
        <w:rPr>
          <w:rFonts w:ascii="Times New Roman" w:hAnsi="Times New Roman" w:cs="Times New Roman"/>
          <w:b/>
          <w:bCs/>
          <w:sz w:val="24"/>
        </w:rPr>
      </w:pPr>
      <w:r w:rsidRPr="00705872">
        <w:rPr>
          <w:rFonts w:ascii="Times New Roman" w:hAnsi="Times New Roman" w:cs="Times New Roman"/>
          <w:b/>
          <w:bCs/>
          <w:sz w:val="24"/>
        </w:rPr>
        <w:t xml:space="preserve">     </w:t>
      </w:r>
      <w:r w:rsidR="00326F3C" w:rsidRPr="00705872">
        <w:rPr>
          <w:rFonts w:ascii="Times New Roman" w:hAnsi="Times New Roman" w:cs="Times New Roman"/>
          <w:b/>
          <w:bCs/>
          <w:sz w:val="24"/>
        </w:rPr>
        <w:t>Comentarios</w:t>
      </w:r>
    </w:p>
    <w:p w14:paraId="3293E0D6" w14:textId="77777777" w:rsidR="00175CD0" w:rsidRPr="00705872" w:rsidRDefault="00DC2B0D" w:rsidP="00BA5B33">
      <w:pPr>
        <w:pStyle w:val="Sinespaciado"/>
        <w:jc w:val="both"/>
        <w:rPr>
          <w:rFonts w:ascii="Times New Roman" w:hAnsi="Times New Roman" w:cs="Times New Roman"/>
          <w:sz w:val="24"/>
        </w:rPr>
      </w:pPr>
      <w:r w:rsidRPr="00705872">
        <w:rPr>
          <w:rFonts w:ascii="Times New Roman" w:hAnsi="Times New Roman" w:cs="Times New Roman"/>
          <w:sz w:val="24"/>
        </w:rPr>
        <w:t xml:space="preserve">     </w:t>
      </w:r>
    </w:p>
    <w:p w14:paraId="7F4BD88A" w14:textId="24237681" w:rsidR="00294448" w:rsidRPr="00705872" w:rsidRDefault="00175CD0" w:rsidP="00BA5B33">
      <w:pPr>
        <w:pStyle w:val="Sinespaciado"/>
        <w:jc w:val="both"/>
        <w:rPr>
          <w:rFonts w:ascii="Times New Roman" w:hAnsi="Times New Roman" w:cs="Times New Roman"/>
          <w:sz w:val="24"/>
        </w:rPr>
      </w:pPr>
      <w:r w:rsidRPr="00705872">
        <w:rPr>
          <w:rFonts w:ascii="Times New Roman" w:hAnsi="Times New Roman" w:cs="Times New Roman"/>
          <w:sz w:val="24"/>
        </w:rPr>
        <w:t xml:space="preserve">     </w:t>
      </w:r>
      <w:r w:rsidR="00294448" w:rsidRPr="00705872">
        <w:rPr>
          <w:rFonts w:ascii="Times New Roman" w:hAnsi="Times New Roman" w:cs="Times New Roman"/>
          <w:sz w:val="24"/>
        </w:rPr>
        <w:t>En el marco de estos pacientes que sabemos representan una población de alto riesgo cardiovascular</w:t>
      </w:r>
      <w:r w:rsidR="0027396C" w:rsidRPr="00705872">
        <w:rPr>
          <w:rFonts w:ascii="Times New Roman" w:hAnsi="Times New Roman" w:cs="Times New Roman"/>
          <w:sz w:val="24"/>
        </w:rPr>
        <w:t>,</w:t>
      </w:r>
      <w:r w:rsidR="00294448" w:rsidRPr="00705872">
        <w:rPr>
          <w:rFonts w:ascii="Times New Roman" w:hAnsi="Times New Roman" w:cs="Times New Roman"/>
          <w:sz w:val="24"/>
        </w:rPr>
        <w:t xml:space="preserve"> el planteo de la relación riesgo</w:t>
      </w:r>
      <w:r w:rsidR="00627BF8" w:rsidRPr="00705872">
        <w:rPr>
          <w:rFonts w:ascii="Times New Roman" w:hAnsi="Times New Roman" w:cs="Times New Roman"/>
          <w:sz w:val="24"/>
        </w:rPr>
        <w:t>-</w:t>
      </w:r>
      <w:r w:rsidR="00294448" w:rsidRPr="00705872">
        <w:rPr>
          <w:rFonts w:ascii="Times New Roman" w:hAnsi="Times New Roman" w:cs="Times New Roman"/>
          <w:sz w:val="24"/>
        </w:rPr>
        <w:t>beneficio en el tratamiento instituido se hace más evidente teniendo en cuenta factores intercurrentes (edad, enfermedades de base</w:t>
      </w:r>
      <w:r w:rsidR="004A21C1" w:rsidRPr="00705872">
        <w:rPr>
          <w:rFonts w:ascii="Times New Roman" w:hAnsi="Times New Roman" w:cs="Times New Roman"/>
          <w:sz w:val="24"/>
        </w:rPr>
        <w:t>,</w:t>
      </w:r>
      <w:r w:rsidR="00294448" w:rsidRPr="00705872">
        <w:rPr>
          <w:rFonts w:ascii="Times New Roman" w:hAnsi="Times New Roman" w:cs="Times New Roman"/>
          <w:sz w:val="24"/>
        </w:rPr>
        <w:t xml:space="preserve"> </w:t>
      </w:r>
      <w:r w:rsidR="002E75E5" w:rsidRPr="00705872">
        <w:rPr>
          <w:rFonts w:ascii="Times New Roman" w:hAnsi="Times New Roman" w:cs="Times New Roman"/>
          <w:sz w:val="24"/>
        </w:rPr>
        <w:t>etc.), debido</w:t>
      </w:r>
      <w:r w:rsidR="00294448" w:rsidRPr="00705872">
        <w:rPr>
          <w:rFonts w:ascii="Times New Roman" w:hAnsi="Times New Roman" w:cs="Times New Roman"/>
          <w:sz w:val="24"/>
        </w:rPr>
        <w:t xml:space="preserve"> al requerimiento de múltiples terapias concomitantes. Es aquí cuando surgen interrogantes respecto a si </w:t>
      </w:r>
      <w:r w:rsidR="004A21C1" w:rsidRPr="00705872">
        <w:rPr>
          <w:rFonts w:ascii="Times New Roman" w:hAnsi="Times New Roman" w:cs="Times New Roman"/>
          <w:sz w:val="24"/>
        </w:rPr>
        <w:t>menos,</w:t>
      </w:r>
      <w:r w:rsidR="00294448" w:rsidRPr="00705872">
        <w:rPr>
          <w:rFonts w:ascii="Times New Roman" w:hAnsi="Times New Roman" w:cs="Times New Roman"/>
          <w:sz w:val="24"/>
        </w:rPr>
        <w:t xml:space="preserve"> es más, en la optimización de la terapia en este escenario clínico.</w:t>
      </w:r>
    </w:p>
    <w:p w14:paraId="62C4F99E" w14:textId="3979DDB5" w:rsidR="00846B47" w:rsidRPr="00705872" w:rsidRDefault="00DC2B0D" w:rsidP="00BA5B33">
      <w:pPr>
        <w:pStyle w:val="Sinespaciado"/>
        <w:jc w:val="both"/>
        <w:rPr>
          <w:rFonts w:ascii="Times New Roman" w:hAnsi="Times New Roman" w:cs="Times New Roman"/>
          <w:sz w:val="24"/>
        </w:rPr>
      </w:pPr>
      <w:r w:rsidRPr="00705872">
        <w:rPr>
          <w:rFonts w:ascii="Times New Roman" w:hAnsi="Times New Roman" w:cs="Times New Roman"/>
          <w:sz w:val="24"/>
        </w:rPr>
        <w:t xml:space="preserve">     </w:t>
      </w:r>
      <w:r w:rsidR="00EE350B" w:rsidRPr="00705872">
        <w:rPr>
          <w:rFonts w:ascii="Times New Roman" w:hAnsi="Times New Roman" w:cs="Times New Roman"/>
          <w:sz w:val="24"/>
        </w:rPr>
        <w:t>E</w:t>
      </w:r>
      <w:r w:rsidR="00613987" w:rsidRPr="00705872">
        <w:rPr>
          <w:rFonts w:ascii="Times New Roman" w:hAnsi="Times New Roman" w:cs="Times New Roman"/>
          <w:sz w:val="24"/>
        </w:rPr>
        <w:t xml:space="preserve">studios de investigación </w:t>
      </w:r>
      <w:r w:rsidR="00EE350B" w:rsidRPr="00705872">
        <w:rPr>
          <w:rFonts w:ascii="Times New Roman" w:hAnsi="Times New Roman" w:cs="Times New Roman"/>
          <w:sz w:val="24"/>
        </w:rPr>
        <w:t xml:space="preserve">previos han tratado de </w:t>
      </w:r>
      <w:r w:rsidR="00613987" w:rsidRPr="00705872">
        <w:rPr>
          <w:rFonts w:ascii="Times New Roman" w:hAnsi="Times New Roman" w:cs="Times New Roman"/>
          <w:sz w:val="24"/>
        </w:rPr>
        <w:t xml:space="preserve">identificar la estrategia </w:t>
      </w:r>
      <w:r w:rsidR="00846B47" w:rsidRPr="00705872">
        <w:rPr>
          <w:rFonts w:ascii="Times New Roman" w:hAnsi="Times New Roman" w:cs="Times New Roman"/>
          <w:sz w:val="24"/>
        </w:rPr>
        <w:t>óptima</w:t>
      </w:r>
      <w:r w:rsidR="00613987" w:rsidRPr="00705872">
        <w:rPr>
          <w:rFonts w:ascii="Times New Roman" w:hAnsi="Times New Roman" w:cs="Times New Roman"/>
          <w:sz w:val="24"/>
        </w:rPr>
        <w:t xml:space="preserve"> para reducir la probabilidad de sangrado relacionado con la triple terapia antitrombótica, como el estudio</w:t>
      </w:r>
      <w:r w:rsidR="00047E83" w:rsidRPr="00705872">
        <w:rPr>
          <w:rFonts w:ascii="Times New Roman" w:hAnsi="Times New Roman" w:cs="Times New Roman"/>
          <w:sz w:val="24"/>
        </w:rPr>
        <w:t xml:space="preserve">: </w:t>
      </w:r>
    </w:p>
    <w:p w14:paraId="0CF6107D" w14:textId="67A5E812" w:rsidR="00047E83" w:rsidRPr="00705872" w:rsidRDefault="00047E83" w:rsidP="00BA5B33">
      <w:pPr>
        <w:pStyle w:val="Sinespaciado"/>
        <w:jc w:val="both"/>
        <w:rPr>
          <w:rFonts w:ascii="Times New Roman" w:hAnsi="Times New Roman" w:cs="Times New Roman"/>
          <w:sz w:val="24"/>
        </w:rPr>
      </w:pPr>
      <w:r w:rsidRPr="00705872">
        <w:rPr>
          <w:rFonts w:ascii="Times New Roman" w:hAnsi="Times New Roman" w:cs="Times New Roman"/>
          <w:sz w:val="24"/>
        </w:rPr>
        <w:t>-</w:t>
      </w:r>
      <w:r w:rsidR="00613987" w:rsidRPr="00705872">
        <w:rPr>
          <w:rFonts w:ascii="Times New Roman" w:hAnsi="Times New Roman" w:cs="Times New Roman"/>
          <w:sz w:val="24"/>
        </w:rPr>
        <w:t>WOEST (n=573): donde se determinó</w:t>
      </w:r>
      <w:r w:rsidR="00491CD0" w:rsidRPr="00705872">
        <w:rPr>
          <w:rFonts w:ascii="Times New Roman" w:hAnsi="Times New Roman" w:cs="Times New Roman"/>
          <w:sz w:val="24"/>
        </w:rPr>
        <w:t xml:space="preserve"> que </w:t>
      </w:r>
      <w:r w:rsidR="00161992" w:rsidRPr="00705872">
        <w:rPr>
          <w:rFonts w:ascii="Times New Roman" w:hAnsi="Times New Roman" w:cs="Times New Roman"/>
          <w:sz w:val="24"/>
        </w:rPr>
        <w:t>un antagonista de la vitamina K</w:t>
      </w:r>
      <w:r w:rsidR="00A16DF5" w:rsidRPr="00705872">
        <w:rPr>
          <w:rFonts w:ascii="Times New Roman" w:hAnsi="Times New Roman" w:cs="Times New Roman"/>
          <w:sz w:val="24"/>
        </w:rPr>
        <w:t xml:space="preserve"> </w:t>
      </w:r>
      <w:r w:rsidR="00491CD0" w:rsidRPr="00705872">
        <w:rPr>
          <w:rFonts w:ascii="Times New Roman" w:hAnsi="Times New Roman" w:cs="Times New Roman"/>
          <w:sz w:val="24"/>
        </w:rPr>
        <w:t>más clopidogrel producían menor sangrado que la triple terapia antitrombótica</w:t>
      </w:r>
      <w:r w:rsidR="00B76D19" w:rsidRPr="00705872">
        <w:rPr>
          <w:rFonts w:ascii="Times New Roman" w:hAnsi="Times New Roman" w:cs="Times New Roman"/>
          <w:sz w:val="24"/>
        </w:rPr>
        <w:t xml:space="preserve"> y que la doble terapia no producía un exceso de eventos trombóticos ni tromboembólicos</w:t>
      </w:r>
      <w:r w:rsidR="006C7FBF" w:rsidRPr="00705872">
        <w:rPr>
          <w:rFonts w:ascii="Times New Roman" w:hAnsi="Times New Roman" w:cs="Times New Roman"/>
          <w:sz w:val="24"/>
        </w:rPr>
        <w:t>;</w:t>
      </w:r>
    </w:p>
    <w:p w14:paraId="20249BC4" w14:textId="4B4175B2" w:rsidR="00246A70" w:rsidRPr="00705872" w:rsidRDefault="00047E83" w:rsidP="00BA5B33">
      <w:pPr>
        <w:pStyle w:val="Sinespaciado"/>
        <w:jc w:val="both"/>
        <w:rPr>
          <w:rFonts w:ascii="Times New Roman" w:hAnsi="Times New Roman" w:cs="Times New Roman"/>
          <w:sz w:val="24"/>
        </w:rPr>
      </w:pPr>
      <w:r w:rsidRPr="00705872">
        <w:rPr>
          <w:rFonts w:ascii="Times New Roman" w:hAnsi="Times New Roman" w:cs="Times New Roman"/>
          <w:sz w:val="24"/>
        </w:rPr>
        <w:t>-</w:t>
      </w:r>
      <w:r w:rsidR="00613987" w:rsidRPr="00705872">
        <w:rPr>
          <w:rFonts w:ascii="Times New Roman" w:hAnsi="Times New Roman" w:cs="Times New Roman"/>
          <w:sz w:val="24"/>
        </w:rPr>
        <w:t xml:space="preserve">el estudio PIONEER AF-PCI (n=2124): </w:t>
      </w:r>
      <w:r w:rsidR="00640CD0" w:rsidRPr="00705872">
        <w:rPr>
          <w:rFonts w:ascii="Times New Roman" w:hAnsi="Times New Roman" w:cs="Times New Roman"/>
          <w:sz w:val="24"/>
        </w:rPr>
        <w:t xml:space="preserve">que </w:t>
      </w:r>
      <w:r w:rsidR="00294448" w:rsidRPr="00705872">
        <w:rPr>
          <w:rFonts w:ascii="Times New Roman" w:hAnsi="Times New Roman" w:cs="Times New Roman"/>
          <w:sz w:val="24"/>
        </w:rPr>
        <w:t xml:space="preserve">demostró menor sangrado con 2 regímenes de rivaroxaban en dosis reducida, comparado con antagonista vitamina K </w:t>
      </w:r>
      <w:r w:rsidR="006548E4" w:rsidRPr="00705872">
        <w:rPr>
          <w:rFonts w:ascii="Times New Roman" w:hAnsi="Times New Roman" w:cs="Times New Roman"/>
          <w:sz w:val="24"/>
        </w:rPr>
        <w:t>más</w:t>
      </w:r>
      <w:r w:rsidR="00294448" w:rsidRPr="00705872">
        <w:rPr>
          <w:rFonts w:ascii="Times New Roman" w:hAnsi="Times New Roman" w:cs="Times New Roman"/>
          <w:sz w:val="24"/>
        </w:rPr>
        <w:t xml:space="preserve"> doble terapia antiplaquetaria;</w:t>
      </w:r>
    </w:p>
    <w:p w14:paraId="729ABB85" w14:textId="63C316D9" w:rsidR="00C76241" w:rsidRPr="00705872" w:rsidRDefault="00246A70" w:rsidP="00BA5B33">
      <w:pPr>
        <w:pStyle w:val="Sinespaciado"/>
        <w:jc w:val="both"/>
        <w:rPr>
          <w:rFonts w:ascii="Times New Roman" w:hAnsi="Times New Roman" w:cs="Times New Roman"/>
          <w:sz w:val="24"/>
        </w:rPr>
      </w:pPr>
      <w:r w:rsidRPr="00705872">
        <w:rPr>
          <w:rFonts w:ascii="Times New Roman" w:hAnsi="Times New Roman" w:cs="Times New Roman"/>
          <w:sz w:val="24"/>
        </w:rPr>
        <w:t xml:space="preserve">- </w:t>
      </w:r>
      <w:r w:rsidR="00640CD0" w:rsidRPr="00705872">
        <w:rPr>
          <w:rFonts w:ascii="Times New Roman" w:hAnsi="Times New Roman" w:cs="Times New Roman"/>
          <w:sz w:val="24"/>
        </w:rPr>
        <w:t xml:space="preserve">y </w:t>
      </w:r>
      <w:r w:rsidR="00294448" w:rsidRPr="00705872">
        <w:rPr>
          <w:rFonts w:ascii="Times New Roman" w:hAnsi="Times New Roman" w:cs="Times New Roman"/>
          <w:sz w:val="24"/>
        </w:rPr>
        <w:t xml:space="preserve">el protocolo </w:t>
      </w:r>
      <w:r w:rsidR="00613987" w:rsidRPr="00705872">
        <w:rPr>
          <w:rFonts w:ascii="Times New Roman" w:hAnsi="Times New Roman" w:cs="Times New Roman"/>
          <w:sz w:val="24"/>
        </w:rPr>
        <w:t>RE-DUAL PCI (n=2725):</w:t>
      </w:r>
      <w:r w:rsidR="00294448" w:rsidRPr="00705872">
        <w:rPr>
          <w:rFonts w:ascii="Times New Roman" w:hAnsi="Times New Roman" w:cs="Times New Roman"/>
          <w:sz w:val="24"/>
        </w:rPr>
        <w:t xml:space="preserve"> mostró </w:t>
      </w:r>
      <w:r w:rsidR="00D71562" w:rsidRPr="00705872">
        <w:rPr>
          <w:rFonts w:ascii="Times New Roman" w:hAnsi="Times New Roman" w:cs="Times New Roman"/>
          <w:sz w:val="24"/>
        </w:rPr>
        <w:t>que el</w:t>
      </w:r>
      <w:r w:rsidR="00BD4DB0" w:rsidRPr="00705872">
        <w:rPr>
          <w:rFonts w:ascii="Times New Roman" w:hAnsi="Times New Roman" w:cs="Times New Roman"/>
          <w:sz w:val="24"/>
        </w:rPr>
        <w:t xml:space="preserve"> riesgo de sangrado fue menor en el grupo que recibió terapia dual con dabigatrán y un </w:t>
      </w:r>
      <w:r w:rsidR="00D71562" w:rsidRPr="00705872">
        <w:rPr>
          <w:rFonts w:ascii="Times New Roman" w:hAnsi="Times New Roman" w:cs="Times New Roman"/>
          <w:sz w:val="24"/>
        </w:rPr>
        <w:t xml:space="preserve">inhibidor </w:t>
      </w:r>
      <w:bookmarkStart w:id="1" w:name="_Hlk44098545"/>
      <w:r w:rsidR="00BD4DB0" w:rsidRPr="00705872">
        <w:rPr>
          <w:rFonts w:ascii="Times New Roman" w:hAnsi="Times New Roman" w:cs="Times New Roman"/>
          <w:sz w:val="24"/>
          <w:shd w:val="clear" w:color="auto" w:fill="FFFFFF"/>
        </w:rPr>
        <w:t>P2Y</w:t>
      </w:r>
      <w:bookmarkEnd w:id="1"/>
      <w:r w:rsidR="008F79E6" w:rsidRPr="00705872"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  <w:vertAlign w:val="subscript"/>
        </w:rPr>
        <w:t>12,</w:t>
      </w:r>
      <w:r w:rsidR="00294448" w:rsidRPr="00705872">
        <w:rPr>
          <w:rFonts w:ascii="Times New Roman" w:hAnsi="Times New Roman" w:cs="Times New Roman"/>
          <w:sz w:val="24"/>
        </w:rPr>
        <w:t xml:space="preserve"> </w:t>
      </w:r>
      <w:r w:rsidR="00D71562" w:rsidRPr="00705872">
        <w:rPr>
          <w:rFonts w:ascii="Times New Roman" w:hAnsi="Times New Roman" w:cs="Times New Roman"/>
          <w:sz w:val="24"/>
          <w:shd w:val="clear" w:color="auto" w:fill="FFFFFF"/>
        </w:rPr>
        <w:t xml:space="preserve">que en el grupo que recibió </w:t>
      </w:r>
      <w:r w:rsidR="00BD4DB0" w:rsidRPr="00705872">
        <w:rPr>
          <w:rFonts w:ascii="Times New Roman" w:hAnsi="Times New Roman" w:cs="Times New Roman"/>
          <w:sz w:val="24"/>
          <w:shd w:val="clear" w:color="auto" w:fill="FFFFFF"/>
        </w:rPr>
        <w:t xml:space="preserve">triple </w:t>
      </w:r>
      <w:r w:rsidR="00D71562" w:rsidRPr="00705872">
        <w:rPr>
          <w:rFonts w:ascii="Times New Roman" w:hAnsi="Times New Roman" w:cs="Times New Roman"/>
          <w:sz w:val="24"/>
          <w:shd w:val="clear" w:color="auto" w:fill="FFFFFF"/>
        </w:rPr>
        <w:t xml:space="preserve">terapia con warfarina, inhibidor </w:t>
      </w:r>
      <w:r w:rsidR="00BD4DB0" w:rsidRPr="00705872">
        <w:rPr>
          <w:rFonts w:ascii="Times New Roman" w:hAnsi="Times New Roman" w:cs="Times New Roman"/>
          <w:sz w:val="24"/>
          <w:shd w:val="clear" w:color="auto" w:fill="FFFFFF"/>
        </w:rPr>
        <w:t>P2Y</w:t>
      </w:r>
      <w:r w:rsidR="00BD4DB0" w:rsidRPr="00705872"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  <w:vertAlign w:val="subscript"/>
        </w:rPr>
        <w:t>12</w:t>
      </w:r>
      <w:r w:rsidR="00BD4DB0" w:rsidRPr="00705872">
        <w:rPr>
          <w:rFonts w:ascii="Times New Roman" w:hAnsi="Times New Roman" w:cs="Times New Roman"/>
          <w:sz w:val="24"/>
          <w:shd w:val="clear" w:color="auto" w:fill="FFFFFF"/>
        </w:rPr>
        <w:t> </w:t>
      </w:r>
      <w:r w:rsidR="00D71562" w:rsidRPr="00705872">
        <w:rPr>
          <w:rFonts w:ascii="Times New Roman" w:hAnsi="Times New Roman" w:cs="Times New Roman"/>
          <w:sz w:val="24"/>
          <w:shd w:val="clear" w:color="auto" w:fill="FFFFFF"/>
        </w:rPr>
        <w:t>y aspirina</w:t>
      </w:r>
      <w:r w:rsidR="00BD4DB0" w:rsidRPr="00705872">
        <w:rPr>
          <w:rFonts w:ascii="Times New Roman" w:hAnsi="Times New Roman" w:cs="Times New Roman"/>
          <w:sz w:val="24"/>
          <w:shd w:val="clear" w:color="auto" w:fill="FFFFFF"/>
        </w:rPr>
        <w:t>.</w:t>
      </w:r>
      <w:r w:rsidR="00BD4DB0" w:rsidRPr="00705872">
        <w:rPr>
          <w:rFonts w:ascii="Times New Roman" w:hAnsi="Times New Roman" w:cs="Times New Roman"/>
          <w:sz w:val="32"/>
          <w:szCs w:val="29"/>
          <w:shd w:val="clear" w:color="auto" w:fill="FFFFFF"/>
        </w:rPr>
        <w:t xml:space="preserve"> </w:t>
      </w:r>
      <w:r w:rsidR="00D71562" w:rsidRPr="00705872">
        <w:rPr>
          <w:rFonts w:ascii="Times New Roman" w:hAnsi="Times New Roman" w:cs="Times New Roman"/>
          <w:sz w:val="24"/>
          <w:shd w:val="clear" w:color="auto" w:fill="FFFFFF"/>
        </w:rPr>
        <w:t>La terapia dual fue no inferior a la triple terapia con respecto al riesgo de eventos tromboembólicos.</w:t>
      </w:r>
      <w:r w:rsidR="00D71562" w:rsidRPr="00705872">
        <w:rPr>
          <w:rFonts w:ascii="Times New Roman" w:hAnsi="Times New Roman" w:cs="Times New Roman"/>
          <w:sz w:val="32"/>
          <w:szCs w:val="29"/>
          <w:shd w:val="clear" w:color="auto" w:fill="FFFFFF"/>
        </w:rPr>
        <w:t xml:space="preserve"> </w:t>
      </w:r>
    </w:p>
    <w:p w14:paraId="1BBF22E4" w14:textId="6F9CE8D2" w:rsidR="008C0970" w:rsidRPr="00705872" w:rsidRDefault="00932D23" w:rsidP="00BA5B33">
      <w:pPr>
        <w:pStyle w:val="Sinespaciado"/>
        <w:jc w:val="both"/>
        <w:rPr>
          <w:rFonts w:ascii="Times New Roman" w:hAnsi="Times New Roman" w:cs="Times New Roman"/>
          <w:sz w:val="24"/>
        </w:rPr>
      </w:pPr>
      <w:r w:rsidRPr="00705872">
        <w:rPr>
          <w:rFonts w:ascii="Times New Roman" w:hAnsi="Times New Roman" w:cs="Times New Roman"/>
          <w:sz w:val="24"/>
        </w:rPr>
        <w:t xml:space="preserve">     </w:t>
      </w:r>
      <w:r w:rsidR="00C76241" w:rsidRPr="00705872">
        <w:rPr>
          <w:rFonts w:ascii="Times New Roman" w:hAnsi="Times New Roman" w:cs="Times New Roman"/>
          <w:sz w:val="24"/>
        </w:rPr>
        <w:t xml:space="preserve">Los estudios mencionados han recibido críticas </w:t>
      </w:r>
      <w:r w:rsidR="0027396C" w:rsidRPr="00705872">
        <w:rPr>
          <w:rFonts w:ascii="Times New Roman" w:hAnsi="Times New Roman" w:cs="Times New Roman"/>
          <w:sz w:val="24"/>
        </w:rPr>
        <w:t>por</w:t>
      </w:r>
      <w:r w:rsidR="00C76241" w:rsidRPr="00705872">
        <w:rPr>
          <w:rFonts w:ascii="Times New Roman" w:hAnsi="Times New Roman" w:cs="Times New Roman"/>
          <w:sz w:val="24"/>
        </w:rPr>
        <w:t xml:space="preserve"> su diseño</w:t>
      </w:r>
      <w:r w:rsidR="00472BC1" w:rsidRPr="00705872">
        <w:rPr>
          <w:rFonts w:ascii="Times New Roman" w:hAnsi="Times New Roman" w:cs="Times New Roman"/>
          <w:sz w:val="24"/>
        </w:rPr>
        <w:t>, el poder de detectar incrementos en la incidencia de eventos isquémicos</w:t>
      </w:r>
      <w:r w:rsidR="00C76241" w:rsidRPr="00705872">
        <w:rPr>
          <w:rFonts w:ascii="Times New Roman" w:hAnsi="Times New Roman" w:cs="Times New Roman"/>
          <w:sz w:val="24"/>
        </w:rPr>
        <w:t>, entre otras limitaciones</w:t>
      </w:r>
      <w:r w:rsidR="00880C83" w:rsidRPr="00705872">
        <w:rPr>
          <w:rFonts w:ascii="Times New Roman" w:hAnsi="Times New Roman" w:cs="Times New Roman"/>
          <w:sz w:val="24"/>
        </w:rPr>
        <w:t xml:space="preserve">, por lo que aún no se han establecido </w:t>
      </w:r>
      <w:r w:rsidR="00D376F6" w:rsidRPr="00705872">
        <w:rPr>
          <w:rFonts w:ascii="Times New Roman" w:hAnsi="Times New Roman" w:cs="Times New Roman"/>
          <w:sz w:val="24"/>
        </w:rPr>
        <w:t xml:space="preserve">férreas </w:t>
      </w:r>
      <w:r w:rsidR="00880C83" w:rsidRPr="00705872">
        <w:rPr>
          <w:rFonts w:ascii="Times New Roman" w:hAnsi="Times New Roman" w:cs="Times New Roman"/>
          <w:sz w:val="24"/>
        </w:rPr>
        <w:t>recomendaciones a partir de sus hallazgos</w:t>
      </w:r>
      <w:r w:rsidR="00C76241" w:rsidRPr="00705872">
        <w:rPr>
          <w:rFonts w:ascii="Times New Roman" w:hAnsi="Times New Roman" w:cs="Times New Roman"/>
          <w:sz w:val="24"/>
        </w:rPr>
        <w:t xml:space="preserve">. </w:t>
      </w:r>
      <w:r w:rsidR="00294448" w:rsidRPr="00705872">
        <w:rPr>
          <w:rFonts w:ascii="Times New Roman" w:hAnsi="Times New Roman" w:cs="Times New Roman"/>
          <w:sz w:val="24"/>
        </w:rPr>
        <w:t>Y los datos respecto a la utilidad de apixabán en esta población, con fibrilación auricular y requerimiento de doble terapia antiplaquetaria, eran reducidos</w:t>
      </w:r>
      <w:r w:rsidR="00B55B96" w:rsidRPr="00705872">
        <w:rPr>
          <w:rFonts w:ascii="Times New Roman" w:hAnsi="Times New Roman" w:cs="Times New Roman"/>
          <w:sz w:val="24"/>
        </w:rPr>
        <w:t xml:space="preserve">, de allí la necesidad de un prolijo diseño de investigación que </w:t>
      </w:r>
      <w:r w:rsidR="00F73359" w:rsidRPr="00705872">
        <w:rPr>
          <w:rFonts w:ascii="Times New Roman" w:hAnsi="Times New Roman" w:cs="Times New Roman"/>
          <w:sz w:val="24"/>
        </w:rPr>
        <w:t xml:space="preserve">incluyera un anticoagulante </w:t>
      </w:r>
      <w:r w:rsidR="0079591D" w:rsidRPr="00705872">
        <w:rPr>
          <w:rFonts w:ascii="Times New Roman" w:hAnsi="Times New Roman" w:cs="Times New Roman"/>
          <w:sz w:val="24"/>
        </w:rPr>
        <w:t>directo</w:t>
      </w:r>
      <w:r w:rsidR="00F73359" w:rsidRPr="00705872">
        <w:rPr>
          <w:rFonts w:ascii="Times New Roman" w:hAnsi="Times New Roman" w:cs="Times New Roman"/>
          <w:sz w:val="24"/>
        </w:rPr>
        <w:t xml:space="preserve"> y </w:t>
      </w:r>
      <w:r w:rsidR="00DE0497" w:rsidRPr="00705872">
        <w:rPr>
          <w:rFonts w:ascii="Times New Roman" w:hAnsi="Times New Roman" w:cs="Times New Roman"/>
          <w:sz w:val="24"/>
        </w:rPr>
        <w:t xml:space="preserve">que </w:t>
      </w:r>
      <w:r w:rsidR="00F73359" w:rsidRPr="00705872">
        <w:rPr>
          <w:rFonts w:ascii="Times New Roman" w:hAnsi="Times New Roman" w:cs="Times New Roman"/>
          <w:sz w:val="24"/>
        </w:rPr>
        <w:t>a su vez evaluara</w:t>
      </w:r>
      <w:r w:rsidR="00B55B96" w:rsidRPr="00705872">
        <w:rPr>
          <w:rFonts w:ascii="Times New Roman" w:hAnsi="Times New Roman" w:cs="Times New Roman"/>
          <w:sz w:val="24"/>
        </w:rPr>
        <w:t xml:space="preserve"> el efecto independiente de la aspirina.  </w:t>
      </w:r>
    </w:p>
    <w:p w14:paraId="5A93A01F" w14:textId="62F963F3" w:rsidR="00EB61B2" w:rsidRPr="00705872" w:rsidRDefault="00932D23" w:rsidP="00BA5B33">
      <w:pPr>
        <w:pStyle w:val="Sinespaciado"/>
        <w:jc w:val="both"/>
        <w:rPr>
          <w:rFonts w:ascii="Times New Roman" w:hAnsi="Times New Roman" w:cs="Times New Roman"/>
          <w:sz w:val="24"/>
        </w:rPr>
      </w:pPr>
      <w:r w:rsidRPr="00705872">
        <w:rPr>
          <w:rFonts w:ascii="Times New Roman" w:hAnsi="Times New Roman" w:cs="Times New Roman"/>
          <w:sz w:val="24"/>
        </w:rPr>
        <w:lastRenderedPageBreak/>
        <w:t xml:space="preserve">     </w:t>
      </w:r>
      <w:r w:rsidR="003C13CC" w:rsidRPr="00705872">
        <w:rPr>
          <w:rFonts w:ascii="Times New Roman" w:hAnsi="Times New Roman" w:cs="Times New Roman"/>
          <w:sz w:val="24"/>
        </w:rPr>
        <w:t xml:space="preserve">En el estudio </w:t>
      </w:r>
      <w:r w:rsidR="007D620B" w:rsidRPr="00705872">
        <w:rPr>
          <w:rFonts w:ascii="Times New Roman" w:hAnsi="Times New Roman" w:cs="Times New Roman"/>
          <w:sz w:val="24"/>
        </w:rPr>
        <w:t>AUGUSTUS</w:t>
      </w:r>
      <w:r w:rsidR="00611499" w:rsidRPr="00705872">
        <w:rPr>
          <w:rFonts w:ascii="Times New Roman" w:hAnsi="Times New Roman" w:cs="Times New Roman"/>
          <w:sz w:val="24"/>
        </w:rPr>
        <w:t xml:space="preserve">, que evaluaba eficacia y seguridad, </w:t>
      </w:r>
      <w:r w:rsidR="007D620B" w:rsidRPr="00705872">
        <w:rPr>
          <w:rFonts w:ascii="Times New Roman" w:hAnsi="Times New Roman" w:cs="Times New Roman"/>
          <w:sz w:val="24"/>
        </w:rPr>
        <w:t>se</w:t>
      </w:r>
      <w:r w:rsidR="00294448" w:rsidRPr="00705872">
        <w:rPr>
          <w:rFonts w:ascii="Times New Roman" w:hAnsi="Times New Roman" w:cs="Times New Roman"/>
          <w:sz w:val="24"/>
        </w:rPr>
        <w:t xml:space="preserve"> determinó </w:t>
      </w:r>
      <w:r w:rsidR="00A36D40" w:rsidRPr="00705872">
        <w:rPr>
          <w:rFonts w:ascii="Times New Roman" w:hAnsi="Times New Roman" w:cs="Times New Roman"/>
          <w:sz w:val="24"/>
        </w:rPr>
        <w:t xml:space="preserve">que en el marco de pacientes con FA y SCA o ATC, el uso de apixabán a una dosis de 5 mg en dos dosis diarias es una estrategia segura y efectiva, y a su vez superior a un antagonista de la vitamina K.  Además, que la no utilización de aspirina resulta en una disminución del 47% del riesgo de sangrado vs la utilización de aspirina, y </w:t>
      </w:r>
      <w:r w:rsidR="002F5495" w:rsidRPr="00705872">
        <w:rPr>
          <w:rFonts w:ascii="Times New Roman" w:hAnsi="Times New Roman" w:cs="Times New Roman"/>
          <w:sz w:val="24"/>
        </w:rPr>
        <w:t>que se produjo</w:t>
      </w:r>
      <w:r w:rsidR="00A36D40" w:rsidRPr="00705872">
        <w:rPr>
          <w:rFonts w:ascii="Times New Roman" w:hAnsi="Times New Roman" w:cs="Times New Roman"/>
          <w:sz w:val="24"/>
        </w:rPr>
        <w:t xml:space="preserve"> un número mayor pero no significativo de eventos. En </w:t>
      </w:r>
      <w:r w:rsidR="00303FF7" w:rsidRPr="00705872">
        <w:rPr>
          <w:rFonts w:ascii="Times New Roman" w:hAnsi="Times New Roman" w:cs="Times New Roman"/>
          <w:sz w:val="24"/>
        </w:rPr>
        <w:t xml:space="preserve">este sentido se debe remarcar que si bien se encontró mayor número de eventos isquémicos coronarios </w:t>
      </w:r>
      <w:r w:rsidR="00A77CDB" w:rsidRPr="00705872">
        <w:rPr>
          <w:rFonts w:ascii="Times New Roman" w:hAnsi="Times New Roman" w:cs="Times New Roman"/>
          <w:sz w:val="24"/>
        </w:rPr>
        <w:t xml:space="preserve">— </w:t>
      </w:r>
      <w:r w:rsidR="00F362D7" w:rsidRPr="00705872">
        <w:rPr>
          <w:rFonts w:ascii="Times New Roman" w:hAnsi="Times New Roman" w:cs="Times New Roman"/>
          <w:sz w:val="24"/>
        </w:rPr>
        <w:t>incluyendo infarto de miocardio</w:t>
      </w:r>
      <w:r w:rsidR="00A77CDB" w:rsidRPr="00705872">
        <w:rPr>
          <w:rFonts w:ascii="Times New Roman" w:hAnsi="Times New Roman" w:cs="Times New Roman"/>
          <w:sz w:val="24"/>
        </w:rPr>
        <w:t xml:space="preserve">, </w:t>
      </w:r>
      <w:r w:rsidR="00F362D7" w:rsidRPr="00705872">
        <w:rPr>
          <w:rFonts w:ascii="Times New Roman" w:hAnsi="Times New Roman" w:cs="Times New Roman"/>
          <w:sz w:val="24"/>
        </w:rPr>
        <w:t>revascularización urgente y trombosis del stent</w:t>
      </w:r>
      <w:r w:rsidR="00A77CDB" w:rsidRPr="00705872">
        <w:rPr>
          <w:rFonts w:ascii="Times New Roman" w:hAnsi="Times New Roman" w:cs="Times New Roman"/>
          <w:sz w:val="24"/>
        </w:rPr>
        <w:t xml:space="preserve"> —</w:t>
      </w:r>
      <w:r w:rsidR="00303FF7" w:rsidRPr="00705872">
        <w:rPr>
          <w:rFonts w:ascii="Times New Roman" w:hAnsi="Times New Roman" w:cs="Times New Roman"/>
          <w:sz w:val="24"/>
        </w:rPr>
        <w:t xml:space="preserve">en la población que no recibió aspirina, la tasa </w:t>
      </w:r>
      <w:r w:rsidR="00F362D7" w:rsidRPr="00705872">
        <w:rPr>
          <w:rFonts w:ascii="Times New Roman" w:hAnsi="Times New Roman" w:cs="Times New Roman"/>
          <w:sz w:val="24"/>
        </w:rPr>
        <w:t xml:space="preserve">de los mismos </w:t>
      </w:r>
      <w:r w:rsidR="00303FF7" w:rsidRPr="00705872">
        <w:rPr>
          <w:rFonts w:ascii="Times New Roman" w:hAnsi="Times New Roman" w:cs="Times New Roman"/>
          <w:sz w:val="24"/>
        </w:rPr>
        <w:t>fue baja</w:t>
      </w:r>
      <w:r w:rsidR="00F362D7" w:rsidRPr="00705872">
        <w:rPr>
          <w:rFonts w:ascii="Times New Roman" w:hAnsi="Times New Roman" w:cs="Times New Roman"/>
          <w:sz w:val="24"/>
        </w:rPr>
        <w:t>,</w:t>
      </w:r>
      <w:r w:rsidR="00303FF7" w:rsidRPr="00705872">
        <w:rPr>
          <w:rFonts w:ascii="Times New Roman" w:hAnsi="Times New Roman" w:cs="Times New Roman"/>
          <w:sz w:val="24"/>
        </w:rPr>
        <w:t xml:space="preserve"> </w:t>
      </w:r>
      <w:r w:rsidR="00F362D7" w:rsidRPr="00705872">
        <w:rPr>
          <w:rFonts w:ascii="Times New Roman" w:hAnsi="Times New Roman" w:cs="Times New Roman"/>
          <w:sz w:val="24"/>
        </w:rPr>
        <w:t>pero se subraya que</w:t>
      </w:r>
      <w:r w:rsidR="00303FF7" w:rsidRPr="00705872">
        <w:rPr>
          <w:rFonts w:ascii="Times New Roman" w:hAnsi="Times New Roman" w:cs="Times New Roman"/>
          <w:sz w:val="24"/>
        </w:rPr>
        <w:t xml:space="preserve"> el estudio no presentó el poder suficiente para evaluar las diferencias entre los eventos isquémicos individuales. </w:t>
      </w:r>
    </w:p>
    <w:p w14:paraId="3B06075D" w14:textId="77777777" w:rsidR="002F39B5" w:rsidRPr="00705872" w:rsidRDefault="00EB61B2" w:rsidP="00BA5B33">
      <w:pPr>
        <w:pStyle w:val="Sinespaciado"/>
        <w:jc w:val="both"/>
        <w:rPr>
          <w:rFonts w:ascii="Times New Roman" w:hAnsi="Times New Roman" w:cs="Times New Roman"/>
          <w:sz w:val="24"/>
        </w:rPr>
      </w:pPr>
      <w:r w:rsidRPr="00705872">
        <w:rPr>
          <w:rFonts w:ascii="Times New Roman" w:hAnsi="Times New Roman" w:cs="Times New Roman"/>
          <w:sz w:val="24"/>
        </w:rPr>
        <w:t xml:space="preserve">      </w:t>
      </w:r>
      <w:r w:rsidR="002F39B5" w:rsidRPr="00705872">
        <w:rPr>
          <w:rFonts w:ascii="Times New Roman" w:hAnsi="Times New Roman" w:cs="Times New Roman"/>
          <w:sz w:val="24"/>
        </w:rPr>
        <w:t>Uno</w:t>
      </w:r>
      <w:r w:rsidR="00937E37" w:rsidRPr="00705872">
        <w:rPr>
          <w:rFonts w:ascii="Times New Roman" w:hAnsi="Times New Roman" w:cs="Times New Roman"/>
          <w:sz w:val="24"/>
        </w:rPr>
        <w:t xml:space="preserve"> de los datos </w:t>
      </w:r>
      <w:r w:rsidR="002F39B5" w:rsidRPr="00705872">
        <w:rPr>
          <w:rFonts w:ascii="Times New Roman" w:hAnsi="Times New Roman" w:cs="Times New Roman"/>
          <w:sz w:val="24"/>
        </w:rPr>
        <w:t>positivos del estudio</w:t>
      </w:r>
      <w:r w:rsidR="00937E37" w:rsidRPr="00705872">
        <w:rPr>
          <w:rFonts w:ascii="Times New Roman" w:hAnsi="Times New Roman" w:cs="Times New Roman"/>
          <w:sz w:val="24"/>
        </w:rPr>
        <w:t xml:space="preserve"> es que el anticoagulante directo, apixabán</w:t>
      </w:r>
      <w:r w:rsidR="008244D4" w:rsidRPr="00705872">
        <w:rPr>
          <w:rFonts w:ascii="Times New Roman" w:hAnsi="Times New Roman" w:cs="Times New Roman"/>
          <w:sz w:val="24"/>
        </w:rPr>
        <w:t>, se lo utilizó a una dosis conocida p</w:t>
      </w:r>
      <w:r w:rsidR="00EF1F27" w:rsidRPr="00705872">
        <w:rPr>
          <w:rFonts w:ascii="Times New Roman" w:hAnsi="Times New Roman" w:cs="Times New Roman"/>
          <w:sz w:val="24"/>
        </w:rPr>
        <w:t>ara</w:t>
      </w:r>
      <w:r w:rsidR="008244D4" w:rsidRPr="00705872">
        <w:rPr>
          <w:rFonts w:ascii="Times New Roman" w:hAnsi="Times New Roman" w:cs="Times New Roman"/>
          <w:sz w:val="24"/>
        </w:rPr>
        <w:t xml:space="preserve"> prevenir accidente cerebrovascular cardioembólico en pacientes con FA. Aunque la comparación de apixabán con un antagonista de la vitamina K fue a régimen abierto</w:t>
      </w:r>
      <w:r w:rsidRPr="00705872">
        <w:rPr>
          <w:rFonts w:ascii="Times New Roman" w:hAnsi="Times New Roman" w:cs="Times New Roman"/>
          <w:sz w:val="24"/>
        </w:rPr>
        <w:t xml:space="preserve"> </w:t>
      </w:r>
      <w:r w:rsidR="008244D4" w:rsidRPr="00705872">
        <w:rPr>
          <w:rFonts w:ascii="Times New Roman" w:hAnsi="Times New Roman" w:cs="Times New Roman"/>
          <w:sz w:val="24"/>
        </w:rPr>
        <w:t xml:space="preserve">y el tiempo que este último se encontraba en rango terapéutico fue solo del 59%. </w:t>
      </w:r>
    </w:p>
    <w:p w14:paraId="0223D2BC" w14:textId="4941660E" w:rsidR="00035DEA" w:rsidRPr="00705872" w:rsidRDefault="002F39B5" w:rsidP="00BA5B33">
      <w:pPr>
        <w:pStyle w:val="Sinespaciado"/>
        <w:jc w:val="both"/>
        <w:rPr>
          <w:rFonts w:ascii="Times New Roman" w:hAnsi="Times New Roman" w:cs="Times New Roman"/>
          <w:sz w:val="24"/>
        </w:rPr>
      </w:pPr>
      <w:r w:rsidRPr="00705872">
        <w:rPr>
          <w:rFonts w:ascii="Times New Roman" w:hAnsi="Times New Roman" w:cs="Times New Roman"/>
          <w:sz w:val="24"/>
        </w:rPr>
        <w:t xml:space="preserve">      </w:t>
      </w:r>
      <w:r w:rsidR="00BC64F6" w:rsidRPr="00705872">
        <w:rPr>
          <w:rFonts w:ascii="Times New Roman" w:hAnsi="Times New Roman" w:cs="Times New Roman"/>
          <w:sz w:val="24"/>
        </w:rPr>
        <w:t>Un análisis posterior de estos resultados logró distinguir 2 etapas diferent</w:t>
      </w:r>
      <w:r w:rsidR="00FF38C0" w:rsidRPr="00705872">
        <w:rPr>
          <w:rFonts w:ascii="Times New Roman" w:hAnsi="Times New Roman" w:cs="Times New Roman"/>
          <w:sz w:val="24"/>
        </w:rPr>
        <w:t xml:space="preserve">es </w:t>
      </w:r>
      <w:r w:rsidR="00F20C02" w:rsidRPr="00705872">
        <w:rPr>
          <w:rFonts w:ascii="Times New Roman" w:hAnsi="Times New Roman" w:cs="Times New Roman"/>
          <w:sz w:val="24"/>
        </w:rPr>
        <w:t>en el</w:t>
      </w:r>
      <w:r w:rsidR="00FF38C0" w:rsidRPr="00705872">
        <w:rPr>
          <w:rFonts w:ascii="Times New Roman" w:hAnsi="Times New Roman" w:cs="Times New Roman"/>
          <w:sz w:val="24"/>
        </w:rPr>
        <w:t xml:space="preserve"> seguimiento del estudio</w:t>
      </w:r>
      <w:r w:rsidR="00BC64F6" w:rsidRPr="00705872">
        <w:rPr>
          <w:rFonts w:ascii="Times New Roman" w:hAnsi="Times New Roman" w:cs="Times New Roman"/>
          <w:sz w:val="24"/>
        </w:rPr>
        <w:t xml:space="preserve">, </w:t>
      </w:r>
      <w:r w:rsidR="00F20C02" w:rsidRPr="00705872">
        <w:rPr>
          <w:rFonts w:ascii="Times New Roman" w:hAnsi="Times New Roman" w:cs="Times New Roman"/>
          <w:sz w:val="24"/>
        </w:rPr>
        <w:t xml:space="preserve">con </w:t>
      </w:r>
      <w:r w:rsidR="00FF38C0" w:rsidRPr="00705872">
        <w:rPr>
          <w:rFonts w:ascii="Times New Roman" w:hAnsi="Times New Roman" w:cs="Times New Roman"/>
          <w:sz w:val="24"/>
        </w:rPr>
        <w:t xml:space="preserve">un período </w:t>
      </w:r>
      <w:r w:rsidR="00F20C02" w:rsidRPr="00705872">
        <w:rPr>
          <w:rFonts w:ascii="Times New Roman" w:hAnsi="Times New Roman" w:cs="Times New Roman"/>
          <w:sz w:val="24"/>
        </w:rPr>
        <w:t xml:space="preserve">inicial, </w:t>
      </w:r>
      <w:r w:rsidR="00FF38C0" w:rsidRPr="00705872">
        <w:rPr>
          <w:rFonts w:ascii="Times New Roman" w:hAnsi="Times New Roman" w:cs="Times New Roman"/>
          <w:sz w:val="24"/>
        </w:rPr>
        <w:t>de mayor riesgo de eventos</w:t>
      </w:r>
      <w:r w:rsidR="00F20C02" w:rsidRPr="00705872">
        <w:rPr>
          <w:rFonts w:ascii="Times New Roman" w:hAnsi="Times New Roman" w:cs="Times New Roman"/>
          <w:sz w:val="24"/>
        </w:rPr>
        <w:t xml:space="preserve">, </w:t>
      </w:r>
      <w:r w:rsidR="00FF38C0" w:rsidRPr="00705872">
        <w:rPr>
          <w:rFonts w:ascii="Times New Roman" w:hAnsi="Times New Roman" w:cs="Times New Roman"/>
          <w:sz w:val="24"/>
        </w:rPr>
        <w:t>aproximadamente hasta</w:t>
      </w:r>
      <w:r w:rsidR="00A90A9F" w:rsidRPr="00705872">
        <w:rPr>
          <w:rFonts w:ascii="Times New Roman" w:hAnsi="Times New Roman" w:cs="Times New Roman"/>
          <w:sz w:val="24"/>
        </w:rPr>
        <w:t xml:space="preserve"> </w:t>
      </w:r>
      <w:r w:rsidR="00122B36" w:rsidRPr="00705872">
        <w:rPr>
          <w:rFonts w:ascii="Times New Roman" w:hAnsi="Times New Roman" w:cs="Times New Roman"/>
          <w:sz w:val="24"/>
        </w:rPr>
        <w:t xml:space="preserve">los 30 días del SCA o la ATC, </w:t>
      </w:r>
      <w:r w:rsidR="008244D4" w:rsidRPr="00705872">
        <w:rPr>
          <w:rFonts w:ascii="Times New Roman" w:hAnsi="Times New Roman" w:cs="Times New Roman"/>
          <w:sz w:val="24"/>
        </w:rPr>
        <w:t>por lo que se sugiere</w:t>
      </w:r>
      <w:r w:rsidR="00BC64F6" w:rsidRPr="00705872">
        <w:rPr>
          <w:rFonts w:ascii="Times New Roman" w:hAnsi="Times New Roman" w:cs="Times New Roman"/>
          <w:sz w:val="24"/>
        </w:rPr>
        <w:t xml:space="preserve"> la necesidad de diferenciar el objetivo fundamental del tratamiento</w:t>
      </w:r>
      <w:r w:rsidR="00CC2535" w:rsidRPr="00705872">
        <w:rPr>
          <w:rFonts w:ascii="Times New Roman" w:hAnsi="Times New Roman" w:cs="Times New Roman"/>
          <w:sz w:val="24"/>
        </w:rPr>
        <w:t>, entallado al paciente,</w:t>
      </w:r>
      <w:r w:rsidR="00BC64F6" w:rsidRPr="00705872">
        <w:rPr>
          <w:rFonts w:ascii="Times New Roman" w:hAnsi="Times New Roman" w:cs="Times New Roman"/>
          <w:sz w:val="24"/>
        </w:rPr>
        <w:t xml:space="preserve"> que </w:t>
      </w:r>
      <w:r w:rsidR="00F20C02" w:rsidRPr="00705872">
        <w:rPr>
          <w:rFonts w:ascii="Times New Roman" w:hAnsi="Times New Roman" w:cs="Times New Roman"/>
          <w:sz w:val="24"/>
        </w:rPr>
        <w:t>si</w:t>
      </w:r>
      <w:r w:rsidR="00BC64F6" w:rsidRPr="00705872">
        <w:rPr>
          <w:rFonts w:ascii="Times New Roman" w:hAnsi="Times New Roman" w:cs="Times New Roman"/>
          <w:sz w:val="24"/>
        </w:rPr>
        <w:t xml:space="preserve"> fuera evitar eventos isquémicos, la aspirina debería continuarse por un plazo de </w:t>
      </w:r>
      <w:r w:rsidR="00122B36" w:rsidRPr="00705872">
        <w:rPr>
          <w:rFonts w:ascii="Times New Roman" w:hAnsi="Times New Roman" w:cs="Times New Roman"/>
          <w:sz w:val="24"/>
        </w:rPr>
        <w:t xml:space="preserve">hasta </w:t>
      </w:r>
      <w:r w:rsidR="00BC64F6" w:rsidRPr="00705872">
        <w:rPr>
          <w:rFonts w:ascii="Times New Roman" w:hAnsi="Times New Roman" w:cs="Times New Roman"/>
          <w:sz w:val="24"/>
        </w:rPr>
        <w:t xml:space="preserve">30 días posteriores al evento, </w:t>
      </w:r>
      <w:r w:rsidR="00D54FCA" w:rsidRPr="00705872">
        <w:rPr>
          <w:rFonts w:ascii="Times New Roman" w:hAnsi="Times New Roman" w:cs="Times New Roman"/>
          <w:sz w:val="24"/>
        </w:rPr>
        <w:t>reconociendo el incremento en el riesgo de sangrado</w:t>
      </w:r>
      <w:r w:rsidR="00034091" w:rsidRPr="00705872">
        <w:rPr>
          <w:rFonts w:ascii="Times New Roman" w:hAnsi="Times New Roman" w:cs="Times New Roman"/>
          <w:sz w:val="24"/>
        </w:rPr>
        <w:t xml:space="preserve">; mientras que si el objetivo fuera evitar hemorragias la aspirina debería suspenderse al alta hospitalaria, </w:t>
      </w:r>
      <w:r w:rsidR="00122B36" w:rsidRPr="00705872">
        <w:rPr>
          <w:rFonts w:ascii="Times New Roman" w:hAnsi="Times New Roman" w:cs="Times New Roman"/>
          <w:sz w:val="24"/>
        </w:rPr>
        <w:t>recordando</w:t>
      </w:r>
      <w:r w:rsidR="00034091" w:rsidRPr="00705872">
        <w:rPr>
          <w:rFonts w:ascii="Times New Roman" w:hAnsi="Times New Roman" w:cs="Times New Roman"/>
          <w:sz w:val="24"/>
        </w:rPr>
        <w:t xml:space="preserve"> que existe un incremento temprano del riesgo de eventos isquémicos. </w:t>
      </w:r>
      <w:r w:rsidR="008F7978" w:rsidRPr="00705872">
        <w:rPr>
          <w:rFonts w:ascii="Times New Roman" w:hAnsi="Times New Roman" w:cs="Times New Roman"/>
          <w:sz w:val="24"/>
        </w:rPr>
        <w:t xml:space="preserve"> </w:t>
      </w:r>
      <w:r w:rsidR="00034091" w:rsidRPr="00705872">
        <w:rPr>
          <w:rFonts w:ascii="Times New Roman" w:hAnsi="Times New Roman" w:cs="Times New Roman"/>
          <w:sz w:val="24"/>
        </w:rPr>
        <w:t>Una vez transcurridos 30 días del evento</w:t>
      </w:r>
      <w:r w:rsidR="006F1E54" w:rsidRPr="00705872">
        <w:rPr>
          <w:rFonts w:ascii="Times New Roman" w:hAnsi="Times New Roman" w:cs="Times New Roman"/>
          <w:sz w:val="24"/>
        </w:rPr>
        <w:t>,</w:t>
      </w:r>
      <w:r w:rsidR="00034091" w:rsidRPr="00705872">
        <w:rPr>
          <w:rFonts w:ascii="Times New Roman" w:hAnsi="Times New Roman" w:cs="Times New Roman"/>
          <w:sz w:val="24"/>
        </w:rPr>
        <w:t xml:space="preserve"> adicionar aspirina </w:t>
      </w:r>
      <w:r w:rsidR="006F1E54" w:rsidRPr="00705872">
        <w:rPr>
          <w:rFonts w:ascii="Times New Roman" w:hAnsi="Times New Roman" w:cs="Times New Roman"/>
          <w:sz w:val="24"/>
        </w:rPr>
        <w:t xml:space="preserve">al tratamiento, </w:t>
      </w:r>
      <w:r w:rsidR="00034091" w:rsidRPr="00705872">
        <w:rPr>
          <w:rFonts w:ascii="Times New Roman" w:hAnsi="Times New Roman" w:cs="Times New Roman"/>
          <w:sz w:val="24"/>
        </w:rPr>
        <w:t xml:space="preserve">por encima del inhibidor </w:t>
      </w:r>
      <w:r w:rsidR="00034091" w:rsidRPr="00705872">
        <w:rPr>
          <w:rFonts w:ascii="Times New Roman" w:hAnsi="Times New Roman" w:cs="Times New Roman"/>
          <w:sz w:val="24"/>
          <w:shd w:val="clear" w:color="auto" w:fill="FFFFFF"/>
        </w:rPr>
        <w:t>P2Y</w:t>
      </w:r>
      <w:r w:rsidR="002C047B" w:rsidRPr="00705872">
        <w:rPr>
          <w:rFonts w:ascii="Times New Roman" w:hAnsi="Times New Roman" w:cs="Times New Roman"/>
          <w:sz w:val="24"/>
          <w:bdr w:val="none" w:sz="0" w:space="0" w:color="auto" w:frame="1"/>
          <w:shd w:val="clear" w:color="auto" w:fill="FFFFFF"/>
          <w:vertAlign w:val="subscript"/>
        </w:rPr>
        <w:t xml:space="preserve">12  </w:t>
      </w:r>
      <w:r w:rsidR="002C047B" w:rsidRPr="00705872">
        <w:rPr>
          <w:rFonts w:ascii="Times New Roman" w:hAnsi="Times New Roman" w:cs="Times New Roman"/>
          <w:sz w:val="24"/>
        </w:rPr>
        <w:t xml:space="preserve">y </w:t>
      </w:r>
      <w:r w:rsidR="00034091" w:rsidRPr="00705872">
        <w:rPr>
          <w:rFonts w:ascii="Times New Roman" w:hAnsi="Times New Roman" w:cs="Times New Roman"/>
          <w:sz w:val="24"/>
        </w:rPr>
        <w:t xml:space="preserve">el anticoagulante oral no produciría un beneficio evidente. </w:t>
      </w:r>
      <w:r w:rsidR="008F7978" w:rsidRPr="00705872">
        <w:rPr>
          <w:rFonts w:ascii="Times New Roman" w:hAnsi="Times New Roman" w:cs="Times New Roman"/>
          <w:sz w:val="24"/>
        </w:rPr>
        <w:t xml:space="preserve"> </w:t>
      </w:r>
    </w:p>
    <w:p w14:paraId="244563EB" w14:textId="0BA0C38C" w:rsidR="00464B6B" w:rsidRPr="00705872" w:rsidRDefault="004F6DE5" w:rsidP="00BA5B33">
      <w:pPr>
        <w:pStyle w:val="Sinespaciado"/>
        <w:jc w:val="both"/>
        <w:rPr>
          <w:rFonts w:ascii="Times New Roman" w:hAnsi="Times New Roman" w:cs="Times New Roman"/>
          <w:sz w:val="24"/>
        </w:rPr>
      </w:pPr>
      <w:r w:rsidRPr="00705872">
        <w:rPr>
          <w:rFonts w:ascii="Times New Roman" w:hAnsi="Times New Roman" w:cs="Times New Roman"/>
          <w:sz w:val="24"/>
        </w:rPr>
        <w:t xml:space="preserve">     </w:t>
      </w:r>
      <w:r w:rsidR="008F7978" w:rsidRPr="00705872">
        <w:rPr>
          <w:rFonts w:ascii="Times New Roman" w:hAnsi="Times New Roman" w:cs="Times New Roman"/>
          <w:sz w:val="24"/>
        </w:rPr>
        <w:t xml:space="preserve">Los resultados del estudio AUGUSTUS, deben aplicarse, basados en </w:t>
      </w:r>
      <w:r w:rsidR="00035DEA" w:rsidRPr="00705872">
        <w:rPr>
          <w:rFonts w:ascii="Times New Roman" w:hAnsi="Times New Roman" w:cs="Times New Roman"/>
          <w:sz w:val="24"/>
        </w:rPr>
        <w:t>el</w:t>
      </w:r>
      <w:r w:rsidR="008F7978" w:rsidRPr="00705872">
        <w:rPr>
          <w:rFonts w:ascii="Times New Roman" w:hAnsi="Times New Roman" w:cs="Times New Roman"/>
          <w:sz w:val="24"/>
        </w:rPr>
        <w:t xml:space="preserve"> riesgo global del paciente</w:t>
      </w:r>
      <w:r w:rsidR="008045FF" w:rsidRPr="00705872">
        <w:rPr>
          <w:rFonts w:ascii="Times New Roman" w:hAnsi="Times New Roman" w:cs="Times New Roman"/>
          <w:sz w:val="24"/>
        </w:rPr>
        <w:t xml:space="preserve"> de padecer accidente cerebrovascular cardioembólico, eventos </w:t>
      </w:r>
      <w:r w:rsidR="00D84E97" w:rsidRPr="00705872">
        <w:rPr>
          <w:rFonts w:ascii="Times New Roman" w:hAnsi="Times New Roman" w:cs="Times New Roman"/>
          <w:sz w:val="24"/>
        </w:rPr>
        <w:t>isquémicos</w:t>
      </w:r>
      <w:r w:rsidR="008045FF" w:rsidRPr="00705872">
        <w:rPr>
          <w:rFonts w:ascii="Times New Roman" w:hAnsi="Times New Roman" w:cs="Times New Roman"/>
          <w:sz w:val="24"/>
        </w:rPr>
        <w:t xml:space="preserve"> coronarios y sangrado</w:t>
      </w:r>
      <w:r w:rsidR="00DB46B0" w:rsidRPr="00705872">
        <w:rPr>
          <w:rFonts w:ascii="Times New Roman" w:hAnsi="Times New Roman" w:cs="Times New Roman"/>
          <w:sz w:val="24"/>
        </w:rPr>
        <w:t>; c</w:t>
      </w:r>
      <w:r w:rsidR="00134CFA" w:rsidRPr="00705872">
        <w:rPr>
          <w:rFonts w:ascii="Times New Roman" w:hAnsi="Times New Roman" w:cs="Times New Roman"/>
          <w:sz w:val="24"/>
        </w:rPr>
        <w:t>uando los médicos consideran la aspirina dentro del tratamiento antitrombótico</w:t>
      </w:r>
      <w:r w:rsidR="00F20C02" w:rsidRPr="00705872">
        <w:rPr>
          <w:rFonts w:ascii="Times New Roman" w:hAnsi="Times New Roman" w:cs="Times New Roman"/>
          <w:sz w:val="24"/>
        </w:rPr>
        <w:t xml:space="preserve"> de esta población</w:t>
      </w:r>
      <w:r w:rsidR="00134CFA" w:rsidRPr="00705872">
        <w:rPr>
          <w:rFonts w:ascii="Times New Roman" w:hAnsi="Times New Roman" w:cs="Times New Roman"/>
          <w:sz w:val="24"/>
        </w:rPr>
        <w:t>, la potencial pequeña disminución en el riesgo de eventos isquémicos coronarios debe equilibrarse con el incremento del riesgo de un sangrado clínicamente significativo.</w:t>
      </w:r>
      <w:r w:rsidR="00464B6B" w:rsidRPr="00705872">
        <w:rPr>
          <w:rFonts w:ascii="Times New Roman" w:hAnsi="Times New Roman" w:cs="Times New Roman"/>
          <w:sz w:val="24"/>
        </w:rPr>
        <w:t xml:space="preserve"> Si bien el estudio presentó algunas limitaciones, la estrategia de doble terapia con apixabán y clopidogrel parece</w:t>
      </w:r>
      <w:r w:rsidR="006F1E54" w:rsidRPr="00705872">
        <w:rPr>
          <w:rFonts w:ascii="Times New Roman" w:hAnsi="Times New Roman" w:cs="Times New Roman"/>
          <w:sz w:val="24"/>
        </w:rPr>
        <w:t xml:space="preserve">, en general, </w:t>
      </w:r>
      <w:r w:rsidR="00464B6B" w:rsidRPr="00705872">
        <w:rPr>
          <w:rFonts w:ascii="Times New Roman" w:hAnsi="Times New Roman" w:cs="Times New Roman"/>
          <w:sz w:val="24"/>
        </w:rPr>
        <w:t>segura y ventajosa frente a la triple terapia en pacientes con FA y SCA o angioplastia coronaria.</w:t>
      </w:r>
    </w:p>
    <w:p w14:paraId="403E45AD" w14:textId="1517042B" w:rsidR="000B275A" w:rsidRPr="00705872" w:rsidRDefault="000B275A" w:rsidP="00BA5B33">
      <w:pPr>
        <w:pStyle w:val="Sinespaciado"/>
        <w:jc w:val="both"/>
        <w:rPr>
          <w:rFonts w:ascii="Times New Roman" w:hAnsi="Times New Roman" w:cs="Times New Roman"/>
          <w:sz w:val="24"/>
        </w:rPr>
      </w:pPr>
    </w:p>
    <w:p w14:paraId="067A22C0" w14:textId="77777777" w:rsidR="008F7978" w:rsidRDefault="008F7978" w:rsidP="00BA5B33">
      <w:pPr>
        <w:pStyle w:val="Sinespaciado"/>
        <w:jc w:val="both"/>
        <w:rPr>
          <w:rFonts w:ascii="Times New Roman" w:hAnsi="Times New Roman" w:cs="Times New Roman"/>
          <w:sz w:val="24"/>
        </w:rPr>
      </w:pPr>
    </w:p>
    <w:p w14:paraId="06E98132" w14:textId="77777777" w:rsidR="00705872" w:rsidRDefault="00705872" w:rsidP="00BA5B33">
      <w:pPr>
        <w:pStyle w:val="Sinespaciado"/>
        <w:jc w:val="both"/>
        <w:rPr>
          <w:rFonts w:ascii="Times New Roman" w:hAnsi="Times New Roman" w:cs="Times New Roman"/>
          <w:sz w:val="24"/>
        </w:rPr>
      </w:pPr>
    </w:p>
    <w:p w14:paraId="470E11B6" w14:textId="77777777" w:rsidR="00705872" w:rsidRDefault="00705872" w:rsidP="00BA5B33">
      <w:pPr>
        <w:pStyle w:val="Sinespaciado"/>
        <w:jc w:val="both"/>
        <w:rPr>
          <w:rFonts w:ascii="Times New Roman" w:hAnsi="Times New Roman" w:cs="Times New Roman"/>
          <w:sz w:val="24"/>
        </w:rPr>
      </w:pPr>
    </w:p>
    <w:p w14:paraId="01CA55F4" w14:textId="77777777" w:rsidR="00705872" w:rsidRDefault="00705872" w:rsidP="00BA5B33">
      <w:pPr>
        <w:pStyle w:val="Sinespaciado"/>
        <w:jc w:val="both"/>
        <w:rPr>
          <w:rFonts w:ascii="Times New Roman" w:hAnsi="Times New Roman" w:cs="Times New Roman"/>
          <w:sz w:val="24"/>
        </w:rPr>
      </w:pPr>
    </w:p>
    <w:p w14:paraId="4A501528" w14:textId="77777777" w:rsidR="00705872" w:rsidRDefault="00705872" w:rsidP="00BA5B33">
      <w:pPr>
        <w:pStyle w:val="Sinespaciado"/>
        <w:jc w:val="both"/>
        <w:rPr>
          <w:rFonts w:ascii="Times New Roman" w:hAnsi="Times New Roman" w:cs="Times New Roman"/>
          <w:sz w:val="24"/>
        </w:rPr>
      </w:pPr>
    </w:p>
    <w:p w14:paraId="7D487D1E" w14:textId="77777777" w:rsidR="00705872" w:rsidRDefault="00705872" w:rsidP="00BA5B33">
      <w:pPr>
        <w:pStyle w:val="Sinespaciado"/>
        <w:jc w:val="both"/>
        <w:rPr>
          <w:rFonts w:ascii="Times New Roman" w:hAnsi="Times New Roman" w:cs="Times New Roman"/>
          <w:sz w:val="24"/>
        </w:rPr>
      </w:pPr>
    </w:p>
    <w:p w14:paraId="60F4D3B8" w14:textId="77777777" w:rsidR="00705872" w:rsidRDefault="00705872" w:rsidP="00BA5B33">
      <w:pPr>
        <w:pStyle w:val="Sinespaciado"/>
        <w:jc w:val="both"/>
        <w:rPr>
          <w:rFonts w:ascii="Times New Roman" w:hAnsi="Times New Roman" w:cs="Times New Roman"/>
          <w:sz w:val="24"/>
        </w:rPr>
      </w:pPr>
    </w:p>
    <w:p w14:paraId="2B6B225F" w14:textId="77777777" w:rsidR="00705872" w:rsidRDefault="00705872" w:rsidP="00BA5B33">
      <w:pPr>
        <w:pStyle w:val="Sinespaciado"/>
        <w:jc w:val="both"/>
        <w:rPr>
          <w:rFonts w:ascii="Times New Roman" w:hAnsi="Times New Roman" w:cs="Times New Roman"/>
          <w:sz w:val="24"/>
        </w:rPr>
      </w:pPr>
    </w:p>
    <w:p w14:paraId="481258E6" w14:textId="77777777" w:rsidR="00705872" w:rsidRDefault="00705872" w:rsidP="00BA5B33">
      <w:pPr>
        <w:pStyle w:val="Sinespaciado"/>
        <w:jc w:val="both"/>
        <w:rPr>
          <w:rFonts w:ascii="Times New Roman" w:hAnsi="Times New Roman" w:cs="Times New Roman"/>
          <w:sz w:val="24"/>
        </w:rPr>
      </w:pPr>
    </w:p>
    <w:p w14:paraId="02E946DA" w14:textId="77777777" w:rsidR="00705872" w:rsidRDefault="00705872" w:rsidP="00BA5B33">
      <w:pPr>
        <w:pStyle w:val="Sinespaciado"/>
        <w:jc w:val="both"/>
        <w:rPr>
          <w:rFonts w:ascii="Times New Roman" w:hAnsi="Times New Roman" w:cs="Times New Roman"/>
          <w:sz w:val="24"/>
        </w:rPr>
      </w:pPr>
    </w:p>
    <w:p w14:paraId="4A4FBDC3" w14:textId="77777777" w:rsidR="00705872" w:rsidRDefault="00705872" w:rsidP="00BA5B33">
      <w:pPr>
        <w:pStyle w:val="Sinespaciado"/>
        <w:jc w:val="both"/>
        <w:rPr>
          <w:rFonts w:ascii="Times New Roman" w:hAnsi="Times New Roman" w:cs="Times New Roman"/>
          <w:sz w:val="24"/>
        </w:rPr>
      </w:pPr>
    </w:p>
    <w:p w14:paraId="702FADE4" w14:textId="77777777" w:rsidR="00705872" w:rsidRDefault="00705872" w:rsidP="00BA5B33">
      <w:pPr>
        <w:pStyle w:val="Sinespaciado"/>
        <w:jc w:val="both"/>
        <w:rPr>
          <w:rFonts w:ascii="Times New Roman" w:hAnsi="Times New Roman" w:cs="Times New Roman"/>
          <w:sz w:val="24"/>
        </w:rPr>
      </w:pPr>
    </w:p>
    <w:p w14:paraId="702F02AE" w14:textId="77777777" w:rsidR="00705872" w:rsidRPr="00705872" w:rsidRDefault="00705872" w:rsidP="00BA5B33">
      <w:pPr>
        <w:pStyle w:val="Sinespaciado"/>
        <w:jc w:val="both"/>
        <w:rPr>
          <w:rFonts w:ascii="Times New Roman" w:hAnsi="Times New Roman" w:cs="Times New Roman"/>
          <w:sz w:val="24"/>
        </w:rPr>
      </w:pPr>
    </w:p>
    <w:p w14:paraId="2E4E2BD8" w14:textId="0F45DE9F" w:rsidR="00ED39A6" w:rsidRPr="00705872" w:rsidRDefault="00ED39A6" w:rsidP="00BA5B33">
      <w:pPr>
        <w:pStyle w:val="Sinespaciado"/>
        <w:jc w:val="both"/>
        <w:rPr>
          <w:rFonts w:ascii="Times New Roman" w:hAnsi="Times New Roman" w:cs="Times New Roman"/>
          <w:b/>
          <w:sz w:val="24"/>
          <w:lang w:val="en-US"/>
        </w:rPr>
      </w:pPr>
      <w:proofErr w:type="spellStart"/>
      <w:r w:rsidRPr="00705872">
        <w:rPr>
          <w:rFonts w:ascii="Times New Roman" w:hAnsi="Times New Roman" w:cs="Times New Roman"/>
          <w:b/>
          <w:sz w:val="24"/>
          <w:lang w:val="en-US"/>
        </w:rPr>
        <w:lastRenderedPageBreak/>
        <w:t>Referencias</w:t>
      </w:r>
      <w:proofErr w:type="spellEnd"/>
      <w:r w:rsidRPr="00705872">
        <w:rPr>
          <w:rFonts w:ascii="Times New Roman" w:hAnsi="Times New Roman" w:cs="Times New Roman"/>
          <w:b/>
          <w:sz w:val="24"/>
          <w:lang w:val="en-US"/>
        </w:rPr>
        <w:t>:</w:t>
      </w:r>
      <w:bookmarkStart w:id="2" w:name="_GoBack"/>
      <w:bookmarkEnd w:id="2"/>
    </w:p>
    <w:p w14:paraId="26E9A804" w14:textId="77777777" w:rsidR="002F39B5" w:rsidRPr="00705872" w:rsidRDefault="002F39B5" w:rsidP="00BA5B33">
      <w:pPr>
        <w:pStyle w:val="Sinespaciado"/>
        <w:ind w:left="720"/>
        <w:jc w:val="both"/>
        <w:rPr>
          <w:rFonts w:ascii="Times New Roman" w:hAnsi="Times New Roman" w:cs="Times New Roman"/>
          <w:color w:val="000000" w:themeColor="text1"/>
          <w:sz w:val="24"/>
          <w:lang w:val="en-US"/>
        </w:rPr>
      </w:pPr>
    </w:p>
    <w:p w14:paraId="07F4D224" w14:textId="54504811" w:rsidR="00C045C8" w:rsidRPr="00705872" w:rsidRDefault="00C045C8" w:rsidP="00BA5B33">
      <w:pPr>
        <w:pStyle w:val="Sinespaciado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4"/>
          <w:lang w:val="en-US"/>
        </w:rPr>
      </w:pPr>
      <w:r w:rsidRPr="00705872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Renato D Lopes, </w:t>
      </w:r>
      <w:proofErr w:type="spellStart"/>
      <w:r w:rsidRPr="00705872">
        <w:rPr>
          <w:rFonts w:ascii="Times New Roman" w:hAnsi="Times New Roman" w:cs="Times New Roman"/>
          <w:color w:val="000000" w:themeColor="text1"/>
          <w:sz w:val="24"/>
          <w:lang w:val="en-US"/>
        </w:rPr>
        <w:t>Grechen</w:t>
      </w:r>
      <w:proofErr w:type="spellEnd"/>
      <w:r w:rsidRPr="00705872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 </w:t>
      </w:r>
      <w:proofErr w:type="spellStart"/>
      <w:r w:rsidRPr="00705872">
        <w:rPr>
          <w:rFonts w:ascii="Times New Roman" w:hAnsi="Times New Roman" w:cs="Times New Roman"/>
          <w:color w:val="000000" w:themeColor="text1"/>
          <w:sz w:val="24"/>
          <w:lang w:val="en-US"/>
        </w:rPr>
        <w:t>Heizer</w:t>
      </w:r>
      <w:proofErr w:type="spellEnd"/>
      <w:r w:rsidRPr="00705872">
        <w:rPr>
          <w:rFonts w:ascii="Times New Roman" w:hAnsi="Times New Roman" w:cs="Times New Roman"/>
          <w:color w:val="000000" w:themeColor="text1"/>
          <w:sz w:val="24"/>
          <w:lang w:val="en-US"/>
        </w:rPr>
        <w:t xml:space="preserve">, Ronal Aronson, et al. Antithrombotic therapy after acute coronary syndrome or PCI in atrial fibrillation. </w:t>
      </w:r>
      <w:r w:rsidRPr="00705872">
        <w:rPr>
          <w:rFonts w:ascii="Times New Roman" w:hAnsi="Times New Roman" w:cs="Times New Roman"/>
          <w:bCs/>
          <w:color w:val="000000" w:themeColor="text1"/>
          <w:sz w:val="24"/>
          <w:lang w:val="en-US"/>
        </w:rPr>
        <w:t xml:space="preserve">N </w:t>
      </w:r>
      <w:proofErr w:type="spellStart"/>
      <w:r w:rsidRPr="00705872">
        <w:rPr>
          <w:rFonts w:ascii="Times New Roman" w:hAnsi="Times New Roman" w:cs="Times New Roman"/>
          <w:bCs/>
          <w:color w:val="000000" w:themeColor="text1"/>
          <w:sz w:val="24"/>
          <w:lang w:val="en-US"/>
        </w:rPr>
        <w:t>Engl</w:t>
      </w:r>
      <w:proofErr w:type="spellEnd"/>
      <w:r w:rsidRPr="00705872">
        <w:rPr>
          <w:rFonts w:ascii="Times New Roman" w:hAnsi="Times New Roman" w:cs="Times New Roman"/>
          <w:bCs/>
          <w:color w:val="000000" w:themeColor="text1"/>
          <w:sz w:val="24"/>
          <w:lang w:val="en-US"/>
        </w:rPr>
        <w:t xml:space="preserve"> J Med </w:t>
      </w:r>
      <w:r w:rsidR="005B76C0" w:rsidRPr="00705872">
        <w:rPr>
          <w:rFonts w:ascii="Times New Roman" w:hAnsi="Times New Roman" w:cs="Times New Roman"/>
          <w:bCs/>
          <w:color w:val="000000" w:themeColor="text1"/>
          <w:sz w:val="24"/>
          <w:lang w:val="en-US"/>
        </w:rPr>
        <w:t>2019; 380:1509</w:t>
      </w:r>
      <w:r w:rsidRPr="00705872">
        <w:rPr>
          <w:rFonts w:ascii="Times New Roman" w:hAnsi="Times New Roman" w:cs="Times New Roman"/>
          <w:bCs/>
          <w:color w:val="000000" w:themeColor="text1"/>
          <w:sz w:val="24"/>
          <w:lang w:val="en-US"/>
        </w:rPr>
        <w:t>-24.</w:t>
      </w:r>
    </w:p>
    <w:p w14:paraId="562E6C4B" w14:textId="022E53ED" w:rsidR="00ED39A6" w:rsidRPr="00705872" w:rsidRDefault="00ED39A6" w:rsidP="00BA5B33">
      <w:pPr>
        <w:pStyle w:val="Sinespaciad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lang w:val="en-US"/>
        </w:rPr>
      </w:pPr>
      <w:r w:rsidRPr="00705872">
        <w:rPr>
          <w:rFonts w:ascii="Times New Roman" w:hAnsi="Times New Roman" w:cs="Times New Roman"/>
          <w:sz w:val="24"/>
          <w:lang w:val="en-US"/>
        </w:rPr>
        <w:t xml:space="preserve">Cannon CP, Bhatt DL, </w:t>
      </w:r>
      <w:proofErr w:type="spellStart"/>
      <w:r w:rsidRPr="00705872">
        <w:rPr>
          <w:rFonts w:ascii="Times New Roman" w:hAnsi="Times New Roman" w:cs="Times New Roman"/>
          <w:sz w:val="24"/>
          <w:lang w:val="en-US"/>
        </w:rPr>
        <w:t>Oldgren</w:t>
      </w:r>
      <w:proofErr w:type="spellEnd"/>
      <w:r w:rsidRPr="00705872">
        <w:rPr>
          <w:rFonts w:ascii="Times New Roman" w:hAnsi="Times New Roman" w:cs="Times New Roman"/>
          <w:sz w:val="24"/>
          <w:lang w:val="en-US"/>
        </w:rPr>
        <w:t xml:space="preserve"> J, et al. Dual antithrombotic therapy with dabigatran after PCI in atrial </w:t>
      </w:r>
      <w:proofErr w:type="spellStart"/>
      <w:r w:rsidRPr="00705872">
        <w:rPr>
          <w:rFonts w:ascii="Times New Roman" w:hAnsi="Times New Roman" w:cs="Times New Roman"/>
          <w:sz w:val="24"/>
          <w:lang w:val="en-US"/>
        </w:rPr>
        <w:t>fibrilation</w:t>
      </w:r>
      <w:proofErr w:type="spellEnd"/>
      <w:r w:rsidRPr="00705872">
        <w:rPr>
          <w:rFonts w:ascii="Times New Roman" w:hAnsi="Times New Roman" w:cs="Times New Roman"/>
          <w:sz w:val="24"/>
          <w:lang w:val="en-US"/>
        </w:rPr>
        <w:t xml:space="preserve">. N </w:t>
      </w:r>
      <w:proofErr w:type="spellStart"/>
      <w:r w:rsidRPr="00705872">
        <w:rPr>
          <w:rFonts w:ascii="Times New Roman" w:hAnsi="Times New Roman" w:cs="Times New Roman"/>
          <w:sz w:val="24"/>
          <w:lang w:val="en-US"/>
        </w:rPr>
        <w:t>Engl</w:t>
      </w:r>
      <w:proofErr w:type="spellEnd"/>
      <w:r w:rsidRPr="00705872">
        <w:rPr>
          <w:rFonts w:ascii="Times New Roman" w:hAnsi="Times New Roman" w:cs="Times New Roman"/>
          <w:sz w:val="24"/>
          <w:lang w:val="en-US"/>
        </w:rPr>
        <w:t xml:space="preserve"> J Med 2017; 377:1513-24</w:t>
      </w:r>
      <w:r w:rsidR="006C7BA7" w:rsidRPr="00705872">
        <w:rPr>
          <w:rFonts w:ascii="Times New Roman" w:hAnsi="Times New Roman" w:cs="Times New Roman"/>
          <w:sz w:val="24"/>
          <w:lang w:val="en-US"/>
        </w:rPr>
        <w:t>.</w:t>
      </w:r>
    </w:p>
    <w:p w14:paraId="1D60625D" w14:textId="46565AAD" w:rsidR="00214F27" w:rsidRPr="00705872" w:rsidRDefault="00214F27" w:rsidP="00BA5B33">
      <w:pPr>
        <w:pStyle w:val="Sinespaciad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705872">
        <w:rPr>
          <w:rFonts w:ascii="Times New Roman" w:hAnsi="Times New Roman" w:cs="Times New Roman"/>
          <w:sz w:val="24"/>
          <w:lang w:val="en-US"/>
        </w:rPr>
        <w:t xml:space="preserve">C. Michael Gibson, Roxana Mehran, Christoph Bode, et al. Prevention of Bleeding in Patients with Atrial Fibrillation Undergoing PCI. </w:t>
      </w:r>
      <w:r w:rsidRPr="00705872">
        <w:rPr>
          <w:rFonts w:ascii="Times New Roman" w:hAnsi="Times New Roman" w:cs="Times New Roman"/>
          <w:sz w:val="24"/>
        </w:rPr>
        <w:t xml:space="preserve">N </w:t>
      </w:r>
      <w:proofErr w:type="spellStart"/>
      <w:r w:rsidRPr="00705872">
        <w:rPr>
          <w:rFonts w:ascii="Times New Roman" w:hAnsi="Times New Roman" w:cs="Times New Roman"/>
          <w:sz w:val="24"/>
        </w:rPr>
        <w:t>Engl</w:t>
      </w:r>
      <w:proofErr w:type="spellEnd"/>
      <w:r w:rsidRPr="00705872">
        <w:rPr>
          <w:rFonts w:ascii="Times New Roman" w:hAnsi="Times New Roman" w:cs="Times New Roman"/>
          <w:sz w:val="24"/>
        </w:rPr>
        <w:t xml:space="preserve"> J </w:t>
      </w:r>
      <w:proofErr w:type="spellStart"/>
      <w:r w:rsidRPr="00705872">
        <w:rPr>
          <w:rFonts w:ascii="Times New Roman" w:hAnsi="Times New Roman" w:cs="Times New Roman"/>
          <w:sz w:val="24"/>
        </w:rPr>
        <w:t>Med</w:t>
      </w:r>
      <w:proofErr w:type="spellEnd"/>
      <w:r w:rsidRPr="00705872">
        <w:rPr>
          <w:rFonts w:ascii="Times New Roman" w:hAnsi="Times New Roman" w:cs="Times New Roman"/>
          <w:sz w:val="24"/>
        </w:rPr>
        <w:t xml:space="preserve"> </w:t>
      </w:r>
      <w:r w:rsidR="00491773" w:rsidRPr="00705872">
        <w:rPr>
          <w:rFonts w:ascii="Times New Roman" w:hAnsi="Times New Roman" w:cs="Times New Roman"/>
          <w:sz w:val="24"/>
        </w:rPr>
        <w:t>2016; 375:2423</w:t>
      </w:r>
      <w:r w:rsidRPr="00705872">
        <w:rPr>
          <w:rFonts w:ascii="Times New Roman" w:hAnsi="Times New Roman" w:cs="Times New Roman"/>
          <w:sz w:val="24"/>
        </w:rPr>
        <w:t>-34</w:t>
      </w:r>
      <w:r w:rsidR="006C7BA7" w:rsidRPr="00705872">
        <w:rPr>
          <w:rFonts w:ascii="Times New Roman" w:hAnsi="Times New Roman" w:cs="Times New Roman"/>
          <w:sz w:val="24"/>
        </w:rPr>
        <w:t>.</w:t>
      </w:r>
    </w:p>
    <w:p w14:paraId="70F860AD" w14:textId="79E185CC" w:rsidR="00491773" w:rsidRPr="00705872" w:rsidRDefault="00491773" w:rsidP="00BA5B33">
      <w:pPr>
        <w:pStyle w:val="Sinespaciad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lang w:val="en-US"/>
        </w:rPr>
      </w:pPr>
      <w:r w:rsidRPr="00705872">
        <w:rPr>
          <w:rFonts w:ascii="Times New Roman" w:hAnsi="Times New Roman" w:cs="Times New Roman"/>
          <w:sz w:val="24"/>
          <w:lang w:val="en-US"/>
        </w:rPr>
        <w:t xml:space="preserve">Christopher P. Cannon, Deepak L. Bhatt, Jonas </w:t>
      </w:r>
      <w:proofErr w:type="spellStart"/>
      <w:r w:rsidRPr="00705872">
        <w:rPr>
          <w:rFonts w:ascii="Times New Roman" w:hAnsi="Times New Roman" w:cs="Times New Roman"/>
          <w:sz w:val="24"/>
          <w:lang w:val="en-US"/>
        </w:rPr>
        <w:t>Oldgren</w:t>
      </w:r>
      <w:proofErr w:type="spellEnd"/>
      <w:r w:rsidRPr="00705872">
        <w:rPr>
          <w:rFonts w:ascii="Times New Roman" w:hAnsi="Times New Roman" w:cs="Times New Roman"/>
          <w:sz w:val="24"/>
          <w:lang w:val="en-US"/>
        </w:rPr>
        <w:t xml:space="preserve">. Dual Antithrombotic Therapy with Dabigatran after PCI in Atrial Fibrillation N </w:t>
      </w:r>
      <w:proofErr w:type="spellStart"/>
      <w:r w:rsidRPr="00705872">
        <w:rPr>
          <w:rFonts w:ascii="Times New Roman" w:hAnsi="Times New Roman" w:cs="Times New Roman"/>
          <w:sz w:val="24"/>
          <w:lang w:val="en-US"/>
        </w:rPr>
        <w:t>Engl</w:t>
      </w:r>
      <w:proofErr w:type="spellEnd"/>
      <w:r w:rsidRPr="00705872">
        <w:rPr>
          <w:rFonts w:ascii="Times New Roman" w:hAnsi="Times New Roman" w:cs="Times New Roman"/>
          <w:sz w:val="24"/>
          <w:lang w:val="en-US"/>
        </w:rPr>
        <w:t xml:space="preserve"> J Med 2017; 377:1513-24</w:t>
      </w:r>
      <w:r w:rsidR="006C7BA7" w:rsidRPr="00705872">
        <w:rPr>
          <w:rFonts w:ascii="Times New Roman" w:hAnsi="Times New Roman" w:cs="Times New Roman"/>
          <w:sz w:val="24"/>
          <w:lang w:val="en-US"/>
        </w:rPr>
        <w:t>.</w:t>
      </w:r>
    </w:p>
    <w:p w14:paraId="12956CA1" w14:textId="5BD6E9FB" w:rsidR="004F455E" w:rsidRPr="00705872" w:rsidRDefault="004F455E" w:rsidP="00BA5B33">
      <w:pPr>
        <w:pStyle w:val="Sinespaciado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lang w:val="en-US"/>
        </w:rPr>
      </w:pPr>
      <w:r w:rsidRPr="00705872">
        <w:rPr>
          <w:rFonts w:ascii="Times New Roman" w:hAnsi="Times New Roman" w:cs="Times New Roman"/>
          <w:sz w:val="24"/>
          <w:lang w:val="en-US"/>
        </w:rPr>
        <w:t xml:space="preserve">Refining Antithrombotic Therapy for Atrial Fibrillation and Acute Coronary Syndromes or PCI. Shamir R. Mehta, M.D. N </w:t>
      </w:r>
      <w:proofErr w:type="spellStart"/>
      <w:r w:rsidRPr="00705872">
        <w:rPr>
          <w:rFonts w:ascii="Times New Roman" w:hAnsi="Times New Roman" w:cs="Times New Roman"/>
          <w:sz w:val="24"/>
          <w:lang w:val="en-US"/>
        </w:rPr>
        <w:t>Engl</w:t>
      </w:r>
      <w:proofErr w:type="spellEnd"/>
      <w:r w:rsidRPr="00705872">
        <w:rPr>
          <w:rFonts w:ascii="Times New Roman" w:hAnsi="Times New Roman" w:cs="Times New Roman"/>
          <w:sz w:val="24"/>
          <w:lang w:val="en-US"/>
        </w:rPr>
        <w:t xml:space="preserve"> J </w:t>
      </w:r>
      <w:proofErr w:type="gramStart"/>
      <w:r w:rsidRPr="00705872">
        <w:rPr>
          <w:rFonts w:ascii="Times New Roman" w:hAnsi="Times New Roman" w:cs="Times New Roman"/>
          <w:sz w:val="24"/>
          <w:lang w:val="en-US"/>
        </w:rPr>
        <w:t xml:space="preserve">Med </w:t>
      </w:r>
      <w:r w:rsidR="004D0D7E" w:rsidRPr="00705872">
        <w:rPr>
          <w:rFonts w:ascii="Times New Roman" w:hAnsi="Times New Roman" w:cs="Times New Roman"/>
          <w:sz w:val="24"/>
          <w:lang w:val="en-US"/>
        </w:rPr>
        <w:t>.</w:t>
      </w:r>
      <w:proofErr w:type="gramEnd"/>
      <w:r w:rsidR="004D0D7E" w:rsidRPr="00705872">
        <w:rPr>
          <w:rFonts w:ascii="Times New Roman" w:hAnsi="Times New Roman" w:cs="Times New Roman"/>
          <w:sz w:val="24"/>
          <w:lang w:val="en-US"/>
        </w:rPr>
        <w:t xml:space="preserve"> March, </w:t>
      </w:r>
      <w:r w:rsidRPr="00705872">
        <w:rPr>
          <w:rFonts w:ascii="Times New Roman" w:hAnsi="Times New Roman" w:cs="Times New Roman"/>
          <w:sz w:val="24"/>
          <w:lang w:val="en-US"/>
        </w:rPr>
        <w:t>2019</w:t>
      </w:r>
      <w:r w:rsidR="006C7BA7" w:rsidRPr="00705872">
        <w:rPr>
          <w:rFonts w:ascii="Times New Roman" w:hAnsi="Times New Roman" w:cs="Times New Roman"/>
          <w:sz w:val="24"/>
          <w:lang w:val="en-US"/>
        </w:rPr>
        <w:t>.</w:t>
      </w:r>
    </w:p>
    <w:sectPr w:rsidR="004F455E" w:rsidRPr="00705872" w:rsidSect="005C629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E398A"/>
    <w:multiLevelType w:val="multilevel"/>
    <w:tmpl w:val="211C8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5F4050"/>
    <w:multiLevelType w:val="hybridMultilevel"/>
    <w:tmpl w:val="FDA66B6C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550"/>
    <w:rsid w:val="00012D05"/>
    <w:rsid w:val="00020CE4"/>
    <w:rsid w:val="0002163F"/>
    <w:rsid w:val="00034091"/>
    <w:rsid w:val="00035DEA"/>
    <w:rsid w:val="00046F8C"/>
    <w:rsid w:val="00047E83"/>
    <w:rsid w:val="0008634B"/>
    <w:rsid w:val="000A3B42"/>
    <w:rsid w:val="000B275A"/>
    <w:rsid w:val="000B73A7"/>
    <w:rsid w:val="00122B36"/>
    <w:rsid w:val="00134CFA"/>
    <w:rsid w:val="00142160"/>
    <w:rsid w:val="00160E30"/>
    <w:rsid w:val="00161992"/>
    <w:rsid w:val="00170C81"/>
    <w:rsid w:val="00175CD0"/>
    <w:rsid w:val="001A0C73"/>
    <w:rsid w:val="001A20ED"/>
    <w:rsid w:val="001C20C4"/>
    <w:rsid w:val="001F129D"/>
    <w:rsid w:val="00213550"/>
    <w:rsid w:val="00214F27"/>
    <w:rsid w:val="00231D8E"/>
    <w:rsid w:val="00246A70"/>
    <w:rsid w:val="00250246"/>
    <w:rsid w:val="0027233C"/>
    <w:rsid w:val="00272DD7"/>
    <w:rsid w:val="0027396C"/>
    <w:rsid w:val="00294448"/>
    <w:rsid w:val="002A4FF8"/>
    <w:rsid w:val="002B1FDF"/>
    <w:rsid w:val="002C047B"/>
    <w:rsid w:val="002C624C"/>
    <w:rsid w:val="002E75E5"/>
    <w:rsid w:val="002F39B5"/>
    <w:rsid w:val="002F5495"/>
    <w:rsid w:val="00303FF7"/>
    <w:rsid w:val="00305A0C"/>
    <w:rsid w:val="003104ED"/>
    <w:rsid w:val="003124D8"/>
    <w:rsid w:val="003140EF"/>
    <w:rsid w:val="00326CD2"/>
    <w:rsid w:val="00326F3C"/>
    <w:rsid w:val="00347FE6"/>
    <w:rsid w:val="00366038"/>
    <w:rsid w:val="00373A03"/>
    <w:rsid w:val="003C13CC"/>
    <w:rsid w:val="003F4AEA"/>
    <w:rsid w:val="00420441"/>
    <w:rsid w:val="0042733A"/>
    <w:rsid w:val="00444E3F"/>
    <w:rsid w:val="00464B6B"/>
    <w:rsid w:val="00472BC1"/>
    <w:rsid w:val="00491773"/>
    <w:rsid w:val="00491CD0"/>
    <w:rsid w:val="004A21C1"/>
    <w:rsid w:val="004B4510"/>
    <w:rsid w:val="004D0D7E"/>
    <w:rsid w:val="004E72A3"/>
    <w:rsid w:val="004F455E"/>
    <w:rsid w:val="004F6DE5"/>
    <w:rsid w:val="00534181"/>
    <w:rsid w:val="00535EF2"/>
    <w:rsid w:val="0054472F"/>
    <w:rsid w:val="005803B6"/>
    <w:rsid w:val="0059750B"/>
    <w:rsid w:val="005A6611"/>
    <w:rsid w:val="005B76C0"/>
    <w:rsid w:val="005C629F"/>
    <w:rsid w:val="005F72AC"/>
    <w:rsid w:val="0060681F"/>
    <w:rsid w:val="00611499"/>
    <w:rsid w:val="00613987"/>
    <w:rsid w:val="006160CE"/>
    <w:rsid w:val="00621E45"/>
    <w:rsid w:val="00627BF8"/>
    <w:rsid w:val="00640CD0"/>
    <w:rsid w:val="006548E4"/>
    <w:rsid w:val="00683FC6"/>
    <w:rsid w:val="006A3703"/>
    <w:rsid w:val="006C19D1"/>
    <w:rsid w:val="006C4035"/>
    <w:rsid w:val="006C7BA7"/>
    <w:rsid w:val="006C7FBF"/>
    <w:rsid w:val="006D7023"/>
    <w:rsid w:val="006E2ADE"/>
    <w:rsid w:val="006F1E54"/>
    <w:rsid w:val="006F3292"/>
    <w:rsid w:val="00705872"/>
    <w:rsid w:val="00721804"/>
    <w:rsid w:val="00727ABC"/>
    <w:rsid w:val="007537BE"/>
    <w:rsid w:val="007606AD"/>
    <w:rsid w:val="00766A3F"/>
    <w:rsid w:val="007722D6"/>
    <w:rsid w:val="0079591D"/>
    <w:rsid w:val="007D620B"/>
    <w:rsid w:val="007F3598"/>
    <w:rsid w:val="007F384F"/>
    <w:rsid w:val="008045FF"/>
    <w:rsid w:val="00811FFD"/>
    <w:rsid w:val="00816C80"/>
    <w:rsid w:val="008244D4"/>
    <w:rsid w:val="008321E2"/>
    <w:rsid w:val="00834BD0"/>
    <w:rsid w:val="00846B47"/>
    <w:rsid w:val="00866D2E"/>
    <w:rsid w:val="00880C83"/>
    <w:rsid w:val="008C0970"/>
    <w:rsid w:val="008C1FCB"/>
    <w:rsid w:val="008D244A"/>
    <w:rsid w:val="008F5E2D"/>
    <w:rsid w:val="008F7978"/>
    <w:rsid w:val="008F79E6"/>
    <w:rsid w:val="0090615F"/>
    <w:rsid w:val="00915EAB"/>
    <w:rsid w:val="00920436"/>
    <w:rsid w:val="00921291"/>
    <w:rsid w:val="00932D23"/>
    <w:rsid w:val="00937E37"/>
    <w:rsid w:val="00962BB4"/>
    <w:rsid w:val="0099124F"/>
    <w:rsid w:val="009A26BB"/>
    <w:rsid w:val="009A3AB2"/>
    <w:rsid w:val="009A5A26"/>
    <w:rsid w:val="00A1639B"/>
    <w:rsid w:val="00A16DF5"/>
    <w:rsid w:val="00A23B06"/>
    <w:rsid w:val="00A36D40"/>
    <w:rsid w:val="00A43519"/>
    <w:rsid w:val="00A50733"/>
    <w:rsid w:val="00A623F0"/>
    <w:rsid w:val="00A74104"/>
    <w:rsid w:val="00A77CDB"/>
    <w:rsid w:val="00A90A9F"/>
    <w:rsid w:val="00AB4644"/>
    <w:rsid w:val="00AB680E"/>
    <w:rsid w:val="00AC596C"/>
    <w:rsid w:val="00AE0F57"/>
    <w:rsid w:val="00B05ABC"/>
    <w:rsid w:val="00B11C0F"/>
    <w:rsid w:val="00B136EA"/>
    <w:rsid w:val="00B1659E"/>
    <w:rsid w:val="00B5170B"/>
    <w:rsid w:val="00B55B96"/>
    <w:rsid w:val="00B76D19"/>
    <w:rsid w:val="00BA5B33"/>
    <w:rsid w:val="00BB23D3"/>
    <w:rsid w:val="00BC64F6"/>
    <w:rsid w:val="00BD4DB0"/>
    <w:rsid w:val="00BF09AD"/>
    <w:rsid w:val="00C045C8"/>
    <w:rsid w:val="00C06121"/>
    <w:rsid w:val="00C15622"/>
    <w:rsid w:val="00C711FB"/>
    <w:rsid w:val="00C76241"/>
    <w:rsid w:val="00CA290C"/>
    <w:rsid w:val="00CC2535"/>
    <w:rsid w:val="00CE7B1B"/>
    <w:rsid w:val="00CF420A"/>
    <w:rsid w:val="00D373B8"/>
    <w:rsid w:val="00D376F6"/>
    <w:rsid w:val="00D54FCA"/>
    <w:rsid w:val="00D56DF3"/>
    <w:rsid w:val="00D60517"/>
    <w:rsid w:val="00D6113A"/>
    <w:rsid w:val="00D71562"/>
    <w:rsid w:val="00D84E97"/>
    <w:rsid w:val="00D85593"/>
    <w:rsid w:val="00DA02C7"/>
    <w:rsid w:val="00DB165D"/>
    <w:rsid w:val="00DB46B0"/>
    <w:rsid w:val="00DC2B0D"/>
    <w:rsid w:val="00DE0497"/>
    <w:rsid w:val="00DF7D6A"/>
    <w:rsid w:val="00E20A82"/>
    <w:rsid w:val="00E30B46"/>
    <w:rsid w:val="00E635FD"/>
    <w:rsid w:val="00EA0403"/>
    <w:rsid w:val="00EB61B2"/>
    <w:rsid w:val="00EC11F8"/>
    <w:rsid w:val="00ED29B4"/>
    <w:rsid w:val="00ED39A6"/>
    <w:rsid w:val="00EE350B"/>
    <w:rsid w:val="00EF1F27"/>
    <w:rsid w:val="00F033FB"/>
    <w:rsid w:val="00F20C02"/>
    <w:rsid w:val="00F362D7"/>
    <w:rsid w:val="00F664B3"/>
    <w:rsid w:val="00F73359"/>
    <w:rsid w:val="00FA2E5A"/>
    <w:rsid w:val="00FA3415"/>
    <w:rsid w:val="00FB1F5D"/>
    <w:rsid w:val="00FB21B5"/>
    <w:rsid w:val="00FF34A7"/>
    <w:rsid w:val="00FF38C0"/>
    <w:rsid w:val="00FF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78099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29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C0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0970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7D620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29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C0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0970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7D62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13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82F3C-5C8A-41F1-B12F-371FE1225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5</Pages>
  <Words>1479</Words>
  <Characters>8140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ncocco</dc:creator>
  <cp:keywords/>
  <dc:description/>
  <cp:lastModifiedBy>UCIC CUATRO</cp:lastModifiedBy>
  <cp:revision>167</cp:revision>
  <dcterms:created xsi:type="dcterms:W3CDTF">2020-06-26T01:03:00Z</dcterms:created>
  <dcterms:modified xsi:type="dcterms:W3CDTF">2020-07-14T13:08:00Z</dcterms:modified>
</cp:coreProperties>
</file>